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wordWrap w:val="0"/>
        <w:autoSpaceDE w:val="0"/>
        <w:autoSpaceDN w:val="0"/>
        <w:adjustRightInd w:val="0"/>
        <w:spacing w:before="42" w:after="9" w:line="239" w:lineRule="auto"/>
        <w:textAlignment w:val="baseline"/>
        <w:rPr>
          <w:rFonts w:hint="default" w:ascii="黑体" w:hAnsi="黑体" w:eastAsia="黑体" w:cs="黑体"/>
          <w:sz w:val="32"/>
          <w:szCs w:val="32"/>
          <w:lang w:val="en-US" w:eastAsia="zh-CN"/>
        </w:rPr>
      </w:pPr>
      <w:r>
        <w:rPr>
          <w:rFonts w:ascii="黑体" w:hAnsi="黑体" w:eastAsia="黑体" w:cs="黑体"/>
          <w:sz w:val="32"/>
          <w:szCs w:val="32"/>
        </w:rPr>
        <w:t>附</w:t>
      </w:r>
      <w:r>
        <w:rPr>
          <w:rFonts w:hint="eastAsia" w:ascii="黑体" w:hAnsi="黑体" w:eastAsia="黑体" w:cs="黑体"/>
          <w:sz w:val="32"/>
          <w:szCs w:val="32"/>
          <w:lang w:val="en-US" w:eastAsia="zh-CN"/>
        </w:rPr>
        <w:t>表1</w:t>
      </w:r>
      <w:bookmarkStart w:id="1" w:name="_GoBack"/>
      <w:bookmarkEnd w:id="1"/>
    </w:p>
    <w:p>
      <w:pPr>
        <w:kinsoku w:val="0"/>
        <w:wordWrap w:val="0"/>
        <w:autoSpaceDE w:val="0"/>
        <w:autoSpaceDN w:val="0"/>
        <w:adjustRightInd w:val="0"/>
        <w:spacing w:before="10" w:line="358" w:lineRule="auto"/>
        <w:jc w:val="both"/>
        <w:textAlignment w:val="baseline"/>
        <w:rPr>
          <w:sz w:val="20"/>
          <w:szCs w:val="20"/>
        </w:rPr>
      </w:pPr>
    </w:p>
    <w:p>
      <w:pPr>
        <w:kinsoku w:val="0"/>
        <w:wordWrap w:val="0"/>
        <w:autoSpaceDE w:val="0"/>
        <w:autoSpaceDN w:val="0"/>
        <w:adjustRightInd w:val="0"/>
        <w:spacing w:before="2" w:after="37" w:line="239" w:lineRule="auto"/>
        <w:jc w:val="center"/>
        <w:textAlignment w:val="baseline"/>
        <w:rPr>
          <w:rFonts w:hint="eastAsia" w:ascii="宋体" w:hAnsi="宋体" w:eastAsia="宋体" w:cs="宋体"/>
          <w:sz w:val="36"/>
          <w:szCs w:val="36"/>
        </w:rPr>
      </w:pPr>
      <w:r>
        <w:rPr>
          <w:rFonts w:hint="eastAsia" w:ascii="华文中宋" w:hAnsi="华文中宋" w:eastAsia="华文中宋" w:cs="华文中宋"/>
          <w:sz w:val="36"/>
          <w:szCs w:val="36"/>
          <w:lang w:val="en-US" w:eastAsia="zh-CN"/>
        </w:rPr>
        <w:t>生态环境部机关</w:t>
      </w:r>
      <w:r>
        <w:rPr>
          <w:rFonts w:hint="eastAsia" w:ascii="华文中宋" w:hAnsi="华文中宋" w:eastAsia="华文中宋" w:cs="华文中宋"/>
          <w:sz w:val="36"/>
          <w:szCs w:val="36"/>
        </w:rPr>
        <w:t>消防管理系统及设施设备维修整改项目公开征集清单</w:t>
      </w:r>
    </w:p>
    <w:tbl>
      <w:tblPr>
        <w:tblStyle w:val="6"/>
        <w:tblW w:w="13954" w:type="dxa"/>
        <w:tblInd w:w="169" w:type="dxa"/>
        <w:tblLayout w:type="fixed"/>
        <w:tblCellMar>
          <w:top w:w="0" w:type="dxa"/>
          <w:left w:w="10" w:type="dxa"/>
          <w:bottom w:w="0" w:type="dxa"/>
          <w:right w:w="10" w:type="dxa"/>
        </w:tblCellMar>
      </w:tblPr>
      <w:tblGrid>
        <w:gridCol w:w="514"/>
        <w:gridCol w:w="985"/>
        <w:gridCol w:w="6691"/>
        <w:gridCol w:w="1313"/>
        <w:gridCol w:w="1061"/>
        <w:gridCol w:w="1382"/>
        <w:gridCol w:w="2008"/>
      </w:tblGrid>
      <w:tr>
        <w:tblPrEx>
          <w:tblCellMar>
            <w:top w:w="0" w:type="dxa"/>
            <w:left w:w="10" w:type="dxa"/>
            <w:bottom w:w="0" w:type="dxa"/>
            <w:right w:w="10" w:type="dxa"/>
          </w:tblCellMar>
        </w:tblPrEx>
        <w:trPr>
          <w:cantSplit/>
          <w:trHeight w:val="914"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wordWrap w:val="0"/>
              <w:autoSpaceDE w:val="0"/>
              <w:autoSpaceDN w:val="0"/>
              <w:adjustRightInd w:val="0"/>
              <w:spacing w:before="1" w:line="318" w:lineRule="auto"/>
              <w:jc w:val="both"/>
              <w:textAlignment w:val="baseline"/>
              <w:rPr>
                <w:sz w:val="20"/>
                <w:szCs w:val="20"/>
              </w:rPr>
            </w:pPr>
          </w:p>
          <w:p>
            <w:pPr>
              <w:kinsoku w:val="0"/>
              <w:wordWrap w:val="0"/>
              <w:autoSpaceDE w:val="0"/>
              <w:autoSpaceDN w:val="0"/>
              <w:adjustRightInd w:val="0"/>
              <w:spacing w:after="333" w:line="239" w:lineRule="auto"/>
              <w:ind w:left="63"/>
              <w:textAlignment w:val="baseline"/>
              <w:rPr>
                <w:rFonts w:hint="eastAsia" w:ascii="黑体" w:hAnsi="黑体" w:eastAsia="黑体" w:cs="黑体"/>
                <w:b/>
              </w:rPr>
            </w:pPr>
            <w:r>
              <w:rPr>
                <w:rFonts w:ascii="黑体" w:hAnsi="黑体" w:eastAsia="黑体" w:cs="黑体"/>
                <w:b/>
                <w:spacing w:val="1"/>
                <w:w w:val="88"/>
              </w:rPr>
              <w:t>序</w:t>
            </w:r>
            <w:r>
              <w:rPr>
                <w:rFonts w:ascii="黑体" w:hAnsi="黑体" w:eastAsia="黑体" w:cs="黑体"/>
                <w:b/>
                <w:w w:val="88"/>
              </w:rPr>
              <w:t>号</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wordWrap w:val="0"/>
              <w:autoSpaceDE w:val="0"/>
              <w:autoSpaceDN w:val="0"/>
              <w:adjustRightInd w:val="0"/>
              <w:spacing w:before="1" w:line="318" w:lineRule="auto"/>
              <w:jc w:val="both"/>
              <w:textAlignment w:val="baseline"/>
              <w:rPr>
                <w:sz w:val="20"/>
                <w:szCs w:val="20"/>
              </w:rPr>
            </w:pPr>
          </w:p>
          <w:p>
            <w:pPr>
              <w:kinsoku w:val="0"/>
              <w:wordWrap w:val="0"/>
              <w:autoSpaceDE w:val="0"/>
              <w:autoSpaceDN w:val="0"/>
              <w:adjustRightInd w:val="0"/>
              <w:spacing w:after="333" w:line="239" w:lineRule="auto"/>
              <w:ind w:left="70"/>
              <w:textAlignment w:val="baseline"/>
              <w:rPr>
                <w:rFonts w:hint="eastAsia" w:ascii="黑体" w:hAnsi="黑体" w:eastAsia="黑体" w:cs="黑体"/>
                <w:b/>
              </w:rPr>
            </w:pPr>
            <w:r>
              <w:rPr>
                <w:rFonts w:ascii="黑体" w:hAnsi="黑体" w:eastAsia="黑体" w:cs="黑体"/>
                <w:b/>
                <w:w w:val="88"/>
              </w:rPr>
              <w:t>项</w:t>
            </w:r>
            <w:r>
              <w:rPr>
                <w:rFonts w:ascii="黑体" w:hAnsi="黑体" w:eastAsia="黑体" w:cs="黑体"/>
                <w:b/>
                <w:w w:val="89"/>
              </w:rPr>
              <w:t>目名称</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wordWrap w:val="0"/>
              <w:autoSpaceDE w:val="0"/>
              <w:autoSpaceDN w:val="0"/>
              <w:adjustRightInd w:val="0"/>
              <w:spacing w:before="1" w:line="278" w:lineRule="auto"/>
              <w:jc w:val="both"/>
              <w:textAlignment w:val="baseline"/>
              <w:rPr>
                <w:sz w:val="20"/>
                <w:szCs w:val="20"/>
              </w:rPr>
            </w:pPr>
          </w:p>
          <w:p>
            <w:pPr>
              <w:kinsoku w:val="0"/>
              <w:wordWrap w:val="0"/>
              <w:autoSpaceDE w:val="0"/>
              <w:autoSpaceDN w:val="0"/>
              <w:adjustRightInd w:val="0"/>
              <w:spacing w:after="281" w:line="239" w:lineRule="auto"/>
              <w:ind w:left="2723"/>
              <w:textAlignment w:val="baseline"/>
              <w:rPr>
                <w:rFonts w:hint="eastAsia" w:ascii="Microsoft JhengHei" w:hAnsi="Microsoft JhengHei" w:eastAsia="Microsoft JhengHei" w:cs="Microsoft JhengHei"/>
                <w:b/>
              </w:rPr>
            </w:pPr>
            <w:r>
              <w:rPr>
                <w:rFonts w:ascii="Microsoft JhengHei" w:hAnsi="Microsoft JhengHei" w:eastAsia="Microsoft JhengHei" w:cs="Microsoft JhengHei"/>
                <w:b/>
                <w:spacing w:val="1"/>
                <w:w w:val="99"/>
              </w:rPr>
              <w:t>项</w:t>
            </w:r>
            <w:r>
              <w:rPr>
                <w:rFonts w:ascii="Microsoft JhengHei" w:hAnsi="Microsoft JhengHei" w:eastAsia="Microsoft JhengHei" w:cs="Microsoft JhengHei"/>
                <w:b/>
                <w:w w:val="99"/>
              </w:rPr>
              <w:t>目</w:t>
            </w:r>
            <w:r>
              <w:rPr>
                <w:rFonts w:ascii="Microsoft JhengHei" w:hAnsi="Microsoft JhengHei" w:eastAsia="Microsoft JhengHei" w:cs="Microsoft JhengHei"/>
                <w:b/>
              </w:rPr>
              <w:t>内容及要求</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wordWrap w:val="0"/>
              <w:autoSpaceDE w:val="0"/>
              <w:autoSpaceDN w:val="0"/>
              <w:adjustRightInd w:val="0"/>
              <w:spacing w:line="171" w:lineRule="auto"/>
              <w:jc w:val="both"/>
              <w:textAlignment w:val="baseline"/>
              <w:rPr>
                <w:sz w:val="20"/>
                <w:szCs w:val="20"/>
              </w:rPr>
            </w:pPr>
          </w:p>
          <w:p>
            <w:pPr>
              <w:kinsoku w:val="0"/>
              <w:autoSpaceDE w:val="0"/>
              <w:autoSpaceDN w:val="0"/>
              <w:adjustRightInd w:val="0"/>
              <w:spacing w:after="183" w:line="248" w:lineRule="auto"/>
              <w:ind w:left="165" w:right="66" w:hanging="103"/>
              <w:textAlignment w:val="baseline"/>
              <w:rPr>
                <w:rFonts w:hint="eastAsia" w:ascii="黑体" w:hAnsi="黑体" w:eastAsia="黑体" w:cs="黑体"/>
                <w:b/>
              </w:rPr>
            </w:pPr>
            <w:r>
              <w:rPr>
                <w:rFonts w:ascii="黑体" w:hAnsi="黑体" w:eastAsia="黑体" w:cs="黑体"/>
                <w:b/>
                <w:spacing w:val="-2"/>
                <w:w w:val="99"/>
              </w:rPr>
              <w:t>经</w:t>
            </w:r>
            <w:r>
              <w:rPr>
                <w:rFonts w:ascii="黑体" w:hAnsi="黑体" w:eastAsia="黑体" w:cs="黑体"/>
                <w:b/>
                <w:spacing w:val="-2"/>
              </w:rPr>
              <w:t>费控制额</w:t>
            </w:r>
            <w:r>
              <w:rPr>
                <w:rFonts w:ascii="黑体" w:hAnsi="黑体" w:eastAsia="黑体" w:cs="黑体"/>
                <w:b/>
              </w:rPr>
              <w:t xml:space="preserve"> </w:t>
            </w:r>
            <w:r>
              <w:rPr>
                <w:rFonts w:ascii="黑体" w:hAnsi="黑体" w:eastAsia="黑体" w:cs="黑体"/>
              </w:rPr>
              <w:br w:type="textWrapping"/>
            </w:r>
            <w:r>
              <w:rPr>
                <w:rFonts w:ascii="黑体" w:hAnsi="黑体" w:eastAsia="黑体" w:cs="黑体"/>
                <w:b/>
                <w:spacing w:val="-1"/>
                <w:w w:val="99"/>
              </w:rPr>
              <w:t>（</w:t>
            </w:r>
            <w:r>
              <w:rPr>
                <w:rFonts w:ascii="黑体" w:hAnsi="黑体" w:eastAsia="黑体" w:cs="黑体"/>
                <w:b/>
                <w:spacing w:val="-2"/>
              </w:rPr>
              <w:t>万元）</w:t>
            </w:r>
            <w:r>
              <w:rPr>
                <w:rFonts w:ascii="黑体" w:hAnsi="黑体" w:eastAsia="黑体" w:cs="黑体"/>
                <w:b/>
              </w:rPr>
              <w:t xml:space="preserve"> </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wordWrap w:val="0"/>
              <w:autoSpaceDE w:val="0"/>
              <w:autoSpaceDN w:val="0"/>
              <w:adjustRightInd w:val="0"/>
              <w:spacing w:before="80" w:after="103" w:line="241" w:lineRule="auto"/>
              <w:ind w:left="210" w:right="210" w:firstLine="103"/>
              <w:textAlignment w:val="baseline"/>
              <w:rPr>
                <w:rFonts w:hint="eastAsia" w:ascii="Microsoft JhengHei" w:hAnsi="Microsoft JhengHei" w:eastAsia="Microsoft JhengHei" w:cs="Microsoft JhengHei"/>
                <w:b/>
              </w:rPr>
            </w:pPr>
            <w:r>
              <w:rPr>
                <w:rFonts w:ascii="Microsoft JhengHei" w:hAnsi="Microsoft JhengHei" w:eastAsia="Microsoft JhengHei" w:cs="Microsoft JhengHei"/>
                <w:b/>
                <w:spacing w:val="-2"/>
                <w:w w:val="99"/>
              </w:rPr>
              <w:t>项</w:t>
            </w:r>
            <w:r>
              <w:rPr>
                <w:rFonts w:ascii="Microsoft JhengHei" w:hAnsi="Microsoft JhengHei" w:eastAsia="Microsoft JhengHei" w:cs="Microsoft JhengHei"/>
                <w:b/>
                <w:spacing w:val="-2"/>
              </w:rPr>
              <w:t>目</w:t>
            </w:r>
            <w:r>
              <w:rPr>
                <w:rFonts w:ascii="Microsoft JhengHei" w:hAnsi="Microsoft JhengHei" w:eastAsia="Microsoft JhengHei" w:cs="Microsoft JhengHei"/>
                <w:b/>
                <w:w w:val="99"/>
              </w:rPr>
              <w:t>联系</w:t>
            </w:r>
            <w:r>
              <w:rPr>
                <w:rFonts w:ascii="Microsoft JhengHei" w:hAnsi="Microsoft JhengHei" w:eastAsia="Microsoft JhengHei" w:cs="Microsoft JhengHei"/>
                <w:b/>
              </w:rPr>
              <w:t>人</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wordWrap w:val="0"/>
              <w:autoSpaceDE w:val="0"/>
              <w:autoSpaceDN w:val="0"/>
              <w:adjustRightInd w:val="0"/>
              <w:spacing w:before="1" w:line="318" w:lineRule="auto"/>
              <w:jc w:val="both"/>
              <w:textAlignment w:val="baseline"/>
              <w:rPr>
                <w:sz w:val="20"/>
                <w:szCs w:val="20"/>
              </w:rPr>
            </w:pPr>
          </w:p>
          <w:p>
            <w:pPr>
              <w:kinsoku w:val="0"/>
              <w:wordWrap w:val="0"/>
              <w:autoSpaceDE w:val="0"/>
              <w:autoSpaceDN w:val="0"/>
              <w:adjustRightInd w:val="0"/>
              <w:spacing w:after="333" w:line="239" w:lineRule="auto"/>
              <w:ind w:left="266"/>
              <w:textAlignment w:val="baseline"/>
              <w:rPr>
                <w:rFonts w:hint="eastAsia" w:ascii="黑体" w:hAnsi="黑体" w:eastAsia="黑体" w:cs="黑体"/>
                <w:b/>
              </w:rPr>
            </w:pPr>
            <w:r>
              <w:rPr>
                <w:rFonts w:ascii="黑体" w:hAnsi="黑体" w:eastAsia="黑体" w:cs="黑体"/>
                <w:b/>
                <w:spacing w:val="1"/>
                <w:w w:val="99"/>
              </w:rPr>
              <w:t>联</w:t>
            </w:r>
            <w:r>
              <w:rPr>
                <w:rFonts w:ascii="黑体" w:hAnsi="黑体" w:eastAsia="黑体" w:cs="黑体"/>
                <w:b/>
                <w:w w:val="99"/>
              </w:rPr>
              <w:t>系电话</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wordWrap w:val="0"/>
              <w:autoSpaceDE w:val="0"/>
              <w:autoSpaceDN w:val="0"/>
              <w:adjustRightInd w:val="0"/>
              <w:spacing w:before="1" w:line="278" w:lineRule="auto"/>
              <w:jc w:val="both"/>
              <w:textAlignment w:val="baseline"/>
              <w:rPr>
                <w:sz w:val="20"/>
                <w:szCs w:val="20"/>
              </w:rPr>
            </w:pPr>
          </w:p>
          <w:p>
            <w:pPr>
              <w:kinsoku w:val="0"/>
              <w:wordWrap w:val="0"/>
              <w:autoSpaceDE w:val="0"/>
              <w:autoSpaceDN w:val="0"/>
              <w:adjustRightInd w:val="0"/>
              <w:spacing w:after="281" w:line="239" w:lineRule="auto"/>
              <w:ind w:left="370"/>
              <w:textAlignment w:val="baseline"/>
              <w:rPr>
                <w:rFonts w:hint="eastAsia" w:ascii="Microsoft JhengHei" w:hAnsi="Microsoft JhengHei" w:eastAsia="Microsoft JhengHei" w:cs="Microsoft JhengHei"/>
                <w:b/>
              </w:rPr>
            </w:pPr>
            <w:r>
              <w:rPr>
                <w:rFonts w:ascii="Microsoft JhengHei" w:hAnsi="Microsoft JhengHei" w:eastAsia="Microsoft JhengHei" w:cs="Microsoft JhengHei"/>
                <w:b/>
                <w:spacing w:val="1"/>
                <w:w w:val="99"/>
              </w:rPr>
              <w:t>项</w:t>
            </w:r>
            <w:r>
              <w:rPr>
                <w:rFonts w:ascii="Microsoft JhengHei" w:hAnsi="Microsoft JhengHei" w:eastAsia="Microsoft JhengHei" w:cs="Microsoft JhengHei"/>
                <w:b/>
                <w:w w:val="99"/>
              </w:rPr>
              <w:t>目完</w:t>
            </w:r>
            <w:r>
              <w:rPr>
                <w:rFonts w:ascii="Microsoft JhengHei" w:hAnsi="Microsoft JhengHei" w:eastAsia="Microsoft JhengHei" w:cs="Microsoft JhengHei"/>
                <w:b/>
              </w:rPr>
              <w:t>成时限</w:t>
            </w:r>
          </w:p>
        </w:tc>
      </w:tr>
      <w:tr>
        <w:tblPrEx>
          <w:tblCellMar>
            <w:top w:w="0" w:type="dxa"/>
            <w:left w:w="10" w:type="dxa"/>
            <w:bottom w:w="0" w:type="dxa"/>
            <w:right w:w="10" w:type="dxa"/>
          </w:tblCellMar>
        </w:tblPrEx>
        <w:trPr>
          <w:cantSplit/>
          <w:trHeight w:val="1388"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ind w:firstLine="210" w:firstLineChars="100"/>
              <w:textAlignment w:val="baseline"/>
              <w:rPr>
                <w:rFonts w:ascii="Times New Roman" w:hAnsi="Times New Roman" w:cs="Times New Roman"/>
              </w:rPr>
            </w:pPr>
            <w:bookmarkStart w:id="0" w:name="_Hlk213508109"/>
          </w:p>
          <w:p>
            <w:pPr>
              <w:kinsoku w:val="0"/>
              <w:autoSpaceDE w:val="0"/>
              <w:autoSpaceDN w:val="0"/>
              <w:adjustRightInd w:val="0"/>
              <w:spacing w:before="240" w:beforeLines="100" w:after="100" w:afterAutospacing="1"/>
              <w:ind w:firstLine="210" w:firstLineChars="100"/>
              <w:textAlignment w:val="baseline"/>
              <w:rPr>
                <w:rFonts w:ascii="Times New Roman" w:hAnsi="Times New Roman" w:cs="Times New Roman"/>
              </w:rPr>
            </w:pPr>
            <w:r>
              <w:rPr>
                <w:rFonts w:hint="eastAsia" w:ascii="Times New Roman" w:hAnsi="Times New Roman" w:cs="Times New Roman"/>
              </w:rPr>
              <w:t>1</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火灾报警控制微机</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24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消防控制中心：CRT图文显示系统，更换、安装、调试。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sz w:val="24"/>
                <w:szCs w:val="24"/>
              </w:rPr>
            </w:pPr>
            <w:r>
              <w:rPr>
                <w:rFonts w:hint="eastAsia" w:ascii="仿宋" w:hAnsi="仿宋" w:eastAsia="仿宋" w:cs="仿宋"/>
                <w:w w:val="99"/>
                <w:sz w:val="24"/>
                <w:szCs w:val="24"/>
              </w:rPr>
              <w:t>3.30</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42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firstLine="240" w:firstLineChars="100"/>
              <w:textAlignment w:val="baseline"/>
              <w:rPr>
                <w:rFonts w:ascii="Times New Roman" w:hAnsi="Times New Roman" w:cs="Times New Roman"/>
                <w:sz w:val="24"/>
                <w:szCs w:val="24"/>
              </w:rPr>
            </w:pPr>
          </w:p>
          <w:p>
            <w:pPr>
              <w:kinsoku w:val="0"/>
              <w:autoSpaceDE w:val="0"/>
              <w:autoSpaceDN w:val="0"/>
              <w:adjustRightInd w:val="0"/>
              <w:spacing w:before="240" w:beforeLines="100" w:after="100" w:afterAutospacing="1" w:line="240" w:lineRule="exact"/>
              <w:ind w:firstLine="240" w:firstLineChars="100"/>
              <w:textAlignment w:val="baseline"/>
              <w:rPr>
                <w:rFonts w:ascii="Times New Roman" w:hAnsi="Times New Roman" w:cs="Times New Roman"/>
                <w:sz w:val="24"/>
                <w:szCs w:val="24"/>
              </w:rPr>
            </w:pPr>
            <w:r>
              <w:rPr>
                <w:rFonts w:hint="eastAsia" w:ascii="Times New Roman" w:hAnsi="Times New Roman" w:cs="Times New Roman"/>
                <w:sz w:val="24"/>
                <w:szCs w:val="24"/>
              </w:rPr>
              <w:t>2</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widowControl/>
              <w:spacing w:before="240" w:beforeLines="100" w:after="100" w:afterAutospacing="1" w:line="276" w:lineRule="auto"/>
              <w:rPr>
                <w:rFonts w:hint="eastAsia" w:ascii="仿宋" w:hAnsi="仿宋" w:eastAsia="仿宋" w:cs="仿宋"/>
                <w:sz w:val="24"/>
                <w:szCs w:val="24"/>
              </w:rPr>
            </w:pPr>
            <w:r>
              <w:rPr>
                <w:rFonts w:hint="eastAsia" w:ascii="仿宋" w:hAnsi="仿宋" w:eastAsia="仿宋"/>
                <w:sz w:val="24"/>
                <w:szCs w:val="24"/>
              </w:rPr>
              <w:t>消防应急照明控制器</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sz w:val="24"/>
                <w:szCs w:val="24"/>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消防控制中心：消防应急照明控制器电路板故障，更换电路板、安装、调试。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0.75</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51"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3</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spacing w:before="480" w:beforeLines="200" w:line="276" w:lineRule="auto"/>
              <w:rPr>
                <w:rFonts w:hint="eastAsia" w:ascii="仿宋" w:hAnsi="仿宋" w:eastAsia="仿宋" w:cs="仿宋"/>
                <w:sz w:val="24"/>
                <w:szCs w:val="24"/>
              </w:rPr>
            </w:pPr>
            <w:r>
              <w:rPr>
                <w:rFonts w:hint="eastAsia" w:ascii="仿宋" w:hAnsi="仿宋" w:eastAsia="仿宋" w:cs="仿宋"/>
                <w:sz w:val="24"/>
                <w:szCs w:val="24"/>
              </w:rPr>
              <w:t>消防模块</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240" w:firstLineChars="1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天面风机房：对安装在风机控制柜内的消防模块进行移位，消防模块移位、安装、调试。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0.64</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51"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4</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可燃气体报警控制器</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厨房配电间：可燃气体报警控制器主机电源更改，更改接线方式、调试。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0.06</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367"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5</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jc w:val="left"/>
              <w:textAlignment w:val="baseline"/>
              <w:rPr>
                <w:rFonts w:hint="eastAsia" w:ascii="仿宋" w:hAnsi="仿宋" w:eastAsia="仿宋" w:cs="仿宋"/>
                <w:sz w:val="24"/>
                <w:szCs w:val="24"/>
              </w:rPr>
            </w:pPr>
            <w:r>
              <w:rPr>
                <w:rFonts w:hint="eastAsia" w:ascii="仿宋" w:hAnsi="仿宋" w:eastAsia="仿宋" w:cs="仿宋"/>
                <w:sz w:val="24"/>
                <w:szCs w:val="24"/>
              </w:rPr>
              <w:t>铝及铝合金风口、散流器</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240" w:lineRule="exact"/>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全楼：排烟口、送风口，增设张贴排烟口、送风口标识。</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1.50</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19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6</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720" w:beforeLines="3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蓄电池</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240" w:lineRule="exact"/>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消防控制中心：蓄电池，更换蓄电池。</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0.50</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6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7</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720" w:beforeLines="300" w:after="100" w:afterAutospacing="1"/>
              <w:textAlignment w:val="baseline"/>
              <w:rPr>
                <w:rFonts w:hint="eastAsia" w:ascii="仿宋" w:hAnsi="仿宋" w:eastAsia="仿宋" w:cs="仿宋"/>
                <w:sz w:val="24"/>
                <w:szCs w:val="24"/>
              </w:rPr>
            </w:pPr>
            <w:r>
              <w:rPr>
                <w:rFonts w:hint="eastAsia" w:ascii="仿宋" w:hAnsi="仿宋" w:eastAsia="仿宋" w:cs="仿宋"/>
                <w:sz w:val="24"/>
                <w:szCs w:val="24"/>
              </w:rPr>
              <w:t>按钮</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消防控制中心：主机按键面膜，更换主机按键面膜及LED开关板。</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0.33</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231"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8</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480" w:beforeLines="2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点型探测器</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240" w:lineRule="exact"/>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B1层后厨：可燃气体探测器，更换探测器、安装、调试。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1.08</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6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9</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480" w:beforeLines="2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碳钢通风管道</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1号楼天面西侧：镀锌钢板风管，旧风管拆除、运输；新风管安装、测试。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0.10</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6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10</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480" w:beforeLines="2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碳钢通风管道</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1号楼天面东侧：镀锌钢板风管，旧风管拆除、运输；新风管安装、测试。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3.70</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6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11</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480" w:beforeLines="2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碳钢通风管道</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消防泵房：镀锌钢板风管，旧风管拆除、运输；新风管安装、测试。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0.16</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6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12</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widowControl/>
              <w:spacing w:before="480" w:beforeLines="200" w:line="276" w:lineRule="auto"/>
              <w:rPr>
                <w:rFonts w:hint="eastAsia" w:ascii="仿宋" w:hAnsi="仿宋" w:eastAsia="仿宋"/>
                <w:sz w:val="24"/>
                <w:szCs w:val="24"/>
              </w:rPr>
            </w:pPr>
            <w:r>
              <w:rPr>
                <w:rFonts w:hint="eastAsia" w:ascii="仿宋" w:hAnsi="仿宋" w:eastAsia="仿宋"/>
                <w:sz w:val="24"/>
                <w:szCs w:val="24"/>
              </w:rPr>
              <w:t>碳钢通风管道</w:t>
            </w:r>
          </w:p>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sz w:val="24"/>
                <w:szCs w:val="24"/>
              </w:rPr>
            </w:pP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B2层正压送风机房：镀锌钢板风管，旧风管拆除、运输；新风管安装、测试。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0.28</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436"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13</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智能应急照明分配电装置</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240" w:lineRule="exact"/>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1号楼、2号楼：更换、安装、调试。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4.82</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411"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14</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after="100" w:afterAutospacing="1" w:line="276" w:lineRule="auto"/>
              <w:textAlignment w:val="baseline"/>
              <w:rPr>
                <w:rFonts w:hint="eastAsia" w:ascii="仿宋" w:hAnsi="仿宋" w:eastAsia="仿宋" w:cs="仿宋"/>
                <w:sz w:val="24"/>
                <w:szCs w:val="24"/>
              </w:rPr>
            </w:pPr>
          </w:p>
          <w:p>
            <w:pPr>
              <w:kinsoku w:val="0"/>
              <w:autoSpaceDE w:val="0"/>
              <w:autoSpaceDN w:val="0"/>
              <w:adjustRightInd w:val="0"/>
              <w:spacing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蓄电池</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240" w:lineRule="exact"/>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全楼：蓄电池，更换蓄电池。</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4.11</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6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15</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消防广播及对讲电话主机</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消防控制中心：消防广播系统功率放大器，更换消防广播功率放大器、拆除、安装、调试。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0.56</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6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16</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after="100" w:afterAutospacing="1" w:line="276" w:lineRule="auto"/>
              <w:textAlignment w:val="baseline"/>
              <w:rPr>
                <w:rFonts w:hint="eastAsia" w:ascii="仿宋" w:hAnsi="仿宋" w:eastAsia="仿宋" w:cs="仿宋"/>
                <w:sz w:val="24"/>
                <w:szCs w:val="24"/>
              </w:rPr>
            </w:pPr>
          </w:p>
          <w:p>
            <w:pPr>
              <w:kinsoku w:val="0"/>
              <w:autoSpaceDE w:val="0"/>
              <w:autoSpaceDN w:val="0"/>
              <w:adjustRightInd w:val="0"/>
              <w:spacing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电源</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消防控制中心：抗干扰电源滤波器，更换抗干扰电源滤波器、安装、调试。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0.13</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6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17</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楼层火灾显示器</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240" w:lineRule="exact"/>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1号楼1号步行梯第2层：火灾显示盘，更换、安装、调试。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0.50</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月内</w:t>
            </w:r>
          </w:p>
        </w:tc>
      </w:tr>
      <w:tr>
        <w:tblPrEx>
          <w:tblCellMar>
            <w:top w:w="0" w:type="dxa"/>
            <w:left w:w="10" w:type="dxa"/>
            <w:bottom w:w="0" w:type="dxa"/>
            <w:right w:w="10" w:type="dxa"/>
          </w:tblCellMar>
        </w:tblPrEx>
        <w:trPr>
          <w:cantSplit/>
          <w:trHeight w:val="137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18</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480" w:beforeLines="2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消防电梯调试</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1号楼：消防电梯联动测试，检查、调试。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0.54</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25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19</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自动报警系统调试</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1号楼楼顶设备层：检查、调试。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0.31</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361"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20</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自动报警系统调试</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B1层东北角排烟风机房：排烟风机测试，检查、调试。</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0.18</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6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21</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自给正压式空气呼吸器</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消防控制中心微型消防站：过滤式呼吸器，更换过滤式呼吸器。</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0.04</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1563"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r>
              <w:rPr>
                <w:rFonts w:hint="eastAsia" w:ascii="Times New Roman" w:hAnsi="Times New Roman" w:cs="Times New Roman"/>
              </w:rPr>
              <w:t>22</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sz w:val="24"/>
                <w:szCs w:val="24"/>
              </w:rPr>
            </w:pPr>
            <w:r>
              <w:rPr>
                <w:rFonts w:hint="eastAsia" w:ascii="仿宋" w:hAnsi="仿宋" w:eastAsia="仿宋" w:cs="仿宋"/>
                <w:sz w:val="24"/>
                <w:szCs w:val="24"/>
              </w:rPr>
              <w:t>自给正压式空气呼吸器</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z w:val="24"/>
                <w:szCs w:val="24"/>
                <w14:textOutline w14:w="0" w14:cap="rnd" w14:cmpd="sng" w14:algn="ctr">
                  <w14:solidFill>
                    <w14:srgbClr w14:val="000000"/>
                  </w14:solidFill>
                  <w14:prstDash w14:val="solid"/>
                  <w14:bevel/>
                </w14:textOutline>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主要内容：</w:t>
            </w:r>
          </w:p>
          <w:p>
            <w:pPr>
              <w:kinsoku w:val="0"/>
              <w:autoSpaceDE w:val="0"/>
              <w:autoSpaceDN w:val="0"/>
              <w:adjustRightInd w:val="0"/>
              <w:spacing w:before="240" w:beforeLines="100" w:after="100" w:afterAutospacing="1" w:line="360" w:lineRule="auto"/>
              <w:ind w:firstLine="480" w:firstLineChars="20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hint="eastAsia" w:ascii="仿宋" w:hAnsi="仿宋" w:eastAsia="仿宋" w:cs="仿宋"/>
                <w:sz w:val="24"/>
                <w:szCs w:val="24"/>
              </w:rPr>
              <w:t>消防控制中心微型消防站：正压式空气呼吸器，更换正压式空气呼吸器。</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0.36</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r>
              <w:rPr>
                <w:rFonts w:ascii="仿宋" w:hAnsi="仿宋" w:eastAsia="仿宋" w:cs="仿宋"/>
                <w:w w:val="99"/>
                <w:sz w:val="24"/>
                <w:szCs w:val="24"/>
              </w:rPr>
              <w:t>田</w:t>
            </w:r>
            <w:r>
              <w:rPr>
                <w:rFonts w:ascii="仿宋" w:hAnsi="仿宋" w:eastAsia="仿宋" w:cs="仿宋"/>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r>
              <w:rPr>
                <w:rFonts w:ascii="仿宋" w:hAnsi="仿宋" w:eastAsia="仿宋" w:cs="仿宋"/>
                <w:w w:val="99"/>
                <w:sz w:val="24"/>
                <w:szCs w:val="24"/>
              </w:rPr>
              <w:t>6</w:t>
            </w:r>
            <w:r>
              <w:rPr>
                <w:rFonts w:ascii="仿宋" w:hAnsi="仿宋" w:eastAsia="仿宋" w:cs="仿宋"/>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r>
              <w:rPr>
                <w:rFonts w:ascii="仿宋" w:hAnsi="仿宋" w:eastAsia="仿宋" w:cs="仿宋"/>
                <w:w w:val="99"/>
                <w:sz w:val="24"/>
                <w:szCs w:val="24"/>
              </w:rPr>
              <w:t>项</w:t>
            </w:r>
            <w:r>
              <w:rPr>
                <w:rFonts w:ascii="仿宋" w:hAnsi="仿宋" w:eastAsia="仿宋" w:cs="仿宋"/>
                <w:sz w:val="24"/>
                <w:szCs w:val="24"/>
              </w:rPr>
              <w:t xml:space="preserve">目合同签订后 </w:t>
            </w:r>
            <w:r>
              <w:rPr>
                <w:rFonts w:ascii="仿宋" w:hAnsi="仿宋" w:eastAsia="仿宋" w:cs="仿宋"/>
                <w:spacing w:val="1"/>
                <w:w w:val="99"/>
                <w:sz w:val="24"/>
                <w:szCs w:val="24"/>
              </w:rPr>
              <w:t>2</w:t>
            </w:r>
            <w:r>
              <w:rPr>
                <w:rFonts w:ascii="仿宋" w:hAnsi="仿宋" w:eastAsia="仿宋" w:cs="仿宋"/>
                <w:w w:val="99"/>
                <w:sz w:val="24"/>
                <w:szCs w:val="24"/>
              </w:rPr>
              <w:t>个</w:t>
            </w:r>
            <w:r>
              <w:rPr>
                <w:rFonts w:ascii="仿宋" w:hAnsi="仿宋" w:eastAsia="仿宋" w:cs="仿宋"/>
                <w:sz w:val="24"/>
                <w:szCs w:val="24"/>
              </w:rPr>
              <w:t xml:space="preserve">月内 </w:t>
            </w:r>
          </w:p>
        </w:tc>
      </w:tr>
      <w:tr>
        <w:tblPrEx>
          <w:tblCellMar>
            <w:top w:w="0" w:type="dxa"/>
            <w:left w:w="10" w:type="dxa"/>
            <w:bottom w:w="0" w:type="dxa"/>
            <w:right w:w="10" w:type="dxa"/>
          </w:tblCellMar>
        </w:tblPrEx>
        <w:trPr>
          <w:cantSplit/>
          <w:trHeight w:val="799"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23</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360" w:lineRule="auto"/>
              <w:ind w:firstLine="480" w:firstLineChars="200"/>
              <w:textAlignment w:val="baseline"/>
              <w:rPr>
                <w:rFonts w:hint="default"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在项目实施过程中，如发现其他消防隐患及问题，按生态环境部有关部门要求同时进行整改。</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default" w:ascii="仿宋" w:hAnsi="仿宋" w:eastAsia="仿宋" w:cs="仿宋"/>
                <w:color w:val="FF0000"/>
                <w:w w:val="99"/>
                <w:sz w:val="24"/>
                <w:szCs w:val="24"/>
                <w:lang w:val="en-US" w:eastAsia="zh-CN"/>
              </w:rPr>
            </w:pPr>
            <w:r>
              <w:rPr>
                <w:rFonts w:hint="eastAsia" w:ascii="仿宋" w:hAnsi="仿宋" w:eastAsia="仿宋" w:cs="仿宋"/>
                <w:color w:val="FF0000"/>
                <w:sz w:val="24"/>
                <w:szCs w:val="24"/>
                <w:lang w:val="en-US" w:eastAsia="zh-CN"/>
              </w:rPr>
              <w:t>按增项</w:t>
            </w:r>
            <w:r>
              <w:rPr>
                <w:rFonts w:hint="eastAsia" w:ascii="仿宋" w:hAnsi="仿宋" w:eastAsia="仿宋" w:cs="仿宋"/>
                <w:color w:val="FF0000"/>
                <w:w w:val="99"/>
                <w:sz w:val="24"/>
                <w:szCs w:val="24"/>
                <w:lang w:val="en-US" w:eastAsia="zh-CN"/>
              </w:rPr>
              <w:t>实际情况支付费用</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kinsoku w:val="0"/>
              <w:autoSpaceDE w:val="0"/>
              <w:autoSpaceDN w:val="0"/>
              <w:adjustRightInd w:val="0"/>
              <w:spacing w:before="240" w:beforeLines="100" w:after="100" w:afterAutospacing="1" w:line="240" w:lineRule="exact"/>
              <w:jc w:val="center"/>
              <w:textAlignment w:val="baseline"/>
              <w:rPr>
                <w:rFonts w:hint="eastAsia" w:ascii="仿宋" w:hAnsi="仿宋" w:eastAsia="仿宋" w:cs="仿宋"/>
                <w:color w:val="auto"/>
                <w:w w:val="99"/>
                <w:sz w:val="24"/>
                <w:szCs w:val="24"/>
                <w:lang w:val="en-US" w:eastAsia="zh-CN" w:bidi="ar-SA"/>
              </w:rPr>
            </w:pPr>
            <w:r>
              <w:rPr>
                <w:rFonts w:ascii="仿宋" w:hAnsi="仿宋" w:eastAsia="仿宋" w:cs="仿宋"/>
                <w:color w:val="auto"/>
                <w:w w:val="99"/>
                <w:sz w:val="24"/>
                <w:szCs w:val="24"/>
              </w:rPr>
              <w:t>田</w:t>
            </w:r>
            <w:r>
              <w:rPr>
                <w:rFonts w:ascii="仿宋" w:hAnsi="仿宋" w:eastAsia="仿宋" w:cs="仿宋"/>
                <w:color w:val="auto"/>
                <w:sz w:val="24"/>
                <w:szCs w:val="24"/>
              </w:rPr>
              <w:t>有俊</w:t>
            </w: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kinsoku w:val="0"/>
              <w:autoSpaceDE w:val="0"/>
              <w:autoSpaceDN w:val="0"/>
              <w:adjustRightInd w:val="0"/>
              <w:spacing w:before="240" w:beforeLines="100" w:after="100" w:afterAutospacing="1" w:line="240" w:lineRule="exact"/>
              <w:jc w:val="center"/>
              <w:textAlignment w:val="baseline"/>
              <w:rPr>
                <w:rFonts w:hint="eastAsia" w:ascii="仿宋" w:hAnsi="仿宋" w:eastAsia="仿宋" w:cs="仿宋"/>
                <w:color w:val="auto"/>
                <w:w w:val="99"/>
                <w:sz w:val="24"/>
                <w:szCs w:val="24"/>
                <w:lang w:val="en-US" w:eastAsia="zh-CN" w:bidi="ar-SA"/>
              </w:rPr>
            </w:pPr>
            <w:r>
              <w:rPr>
                <w:rFonts w:ascii="仿宋" w:hAnsi="仿宋" w:eastAsia="仿宋" w:cs="仿宋"/>
                <w:color w:val="auto"/>
                <w:w w:val="99"/>
                <w:sz w:val="24"/>
                <w:szCs w:val="24"/>
              </w:rPr>
              <w:t>6</w:t>
            </w:r>
            <w:r>
              <w:rPr>
                <w:rFonts w:ascii="仿宋" w:hAnsi="仿宋" w:eastAsia="仿宋" w:cs="仿宋"/>
                <w:color w:val="auto"/>
                <w:sz w:val="24"/>
                <w:szCs w:val="24"/>
              </w:rPr>
              <w:t>5645188</w:t>
            </w: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kinsoku w:val="0"/>
              <w:autoSpaceDE w:val="0"/>
              <w:autoSpaceDN w:val="0"/>
              <w:adjustRightInd w:val="0"/>
              <w:spacing w:before="240" w:beforeLines="100" w:after="100" w:afterAutospacing="1" w:line="240" w:lineRule="exact"/>
              <w:jc w:val="left"/>
              <w:textAlignment w:val="baseline"/>
              <w:rPr>
                <w:rFonts w:hint="eastAsia" w:ascii="仿宋" w:hAnsi="仿宋" w:eastAsia="仿宋" w:cs="仿宋"/>
                <w:color w:val="auto"/>
                <w:w w:val="99"/>
                <w:sz w:val="24"/>
                <w:szCs w:val="24"/>
                <w:lang w:val="en-US" w:eastAsia="zh-CN" w:bidi="ar-SA"/>
              </w:rPr>
            </w:pPr>
            <w:r>
              <w:rPr>
                <w:rFonts w:ascii="仿宋" w:hAnsi="仿宋" w:eastAsia="仿宋" w:cs="仿宋"/>
                <w:color w:val="auto"/>
                <w:w w:val="99"/>
                <w:sz w:val="24"/>
                <w:szCs w:val="24"/>
              </w:rPr>
              <w:t>项</w:t>
            </w:r>
            <w:r>
              <w:rPr>
                <w:rFonts w:ascii="仿宋" w:hAnsi="仿宋" w:eastAsia="仿宋" w:cs="仿宋"/>
                <w:color w:val="auto"/>
                <w:sz w:val="24"/>
                <w:szCs w:val="24"/>
              </w:rPr>
              <w:t xml:space="preserve">目合同签订后 </w:t>
            </w:r>
            <w:r>
              <w:rPr>
                <w:rFonts w:ascii="仿宋" w:hAnsi="仿宋" w:eastAsia="仿宋" w:cs="仿宋"/>
                <w:color w:val="auto"/>
                <w:spacing w:val="1"/>
                <w:w w:val="99"/>
                <w:sz w:val="24"/>
                <w:szCs w:val="24"/>
              </w:rPr>
              <w:t>2</w:t>
            </w:r>
            <w:r>
              <w:rPr>
                <w:rFonts w:ascii="仿宋" w:hAnsi="仿宋" w:eastAsia="仿宋" w:cs="仿宋"/>
                <w:color w:val="auto"/>
                <w:w w:val="99"/>
                <w:sz w:val="24"/>
                <w:szCs w:val="24"/>
              </w:rPr>
              <w:t>个</w:t>
            </w:r>
            <w:r>
              <w:rPr>
                <w:rFonts w:ascii="仿宋" w:hAnsi="仿宋" w:eastAsia="仿宋" w:cs="仿宋"/>
                <w:color w:val="auto"/>
                <w:sz w:val="24"/>
                <w:szCs w:val="24"/>
              </w:rPr>
              <w:t>月内</w:t>
            </w:r>
          </w:p>
        </w:tc>
      </w:tr>
      <w:bookmarkEnd w:id="0"/>
      <w:tr>
        <w:tblPrEx>
          <w:tblCellMar>
            <w:top w:w="0" w:type="dxa"/>
            <w:left w:w="10" w:type="dxa"/>
            <w:bottom w:w="0" w:type="dxa"/>
            <w:right w:w="10" w:type="dxa"/>
          </w:tblCellMar>
        </w:tblPrEx>
        <w:trPr>
          <w:cantSplit/>
          <w:trHeight w:val="696"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hint="eastAsia" w:ascii="Times New Roman" w:hAnsi="Times New Roman" w:cs="Times New Roman" w:eastAsiaTheme="minorEastAsia"/>
                <w:lang w:val="en-US" w:eastAsia="zh-CN"/>
              </w:rPr>
            </w:pPr>
            <w:r>
              <w:rPr>
                <w:rFonts w:hint="eastAsia" w:ascii="Times New Roman" w:hAnsi="Times New Roman" w:cs="Times New Roman"/>
              </w:rPr>
              <w:t>2</w:t>
            </w:r>
            <w:r>
              <w:rPr>
                <w:rFonts w:hint="eastAsia" w:ascii="Times New Roman" w:hAnsi="Times New Roman" w:cs="Times New Roman"/>
                <w:lang w:val="en-US" w:eastAsia="zh-CN"/>
              </w:rPr>
              <w:t>4</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76" w:lineRule="auto"/>
              <w:textAlignment w:val="baseline"/>
              <w:rPr>
                <w:rFonts w:hint="eastAsia" w:ascii="仿宋" w:hAnsi="仿宋" w:eastAsia="仿宋" w:cs="仿宋"/>
                <w:sz w:val="24"/>
                <w:szCs w:val="24"/>
              </w:rPr>
            </w:pPr>
            <w:r>
              <w:rPr>
                <w:rFonts w:ascii="仿宋" w:hAnsi="仿宋" w:eastAsia="仿宋" w:cs="仿宋"/>
                <w:w w:val="99"/>
                <w:sz w:val="24"/>
                <w:szCs w:val="24"/>
              </w:rPr>
              <w:t>共</w:t>
            </w:r>
            <w:r>
              <w:rPr>
                <w:rFonts w:ascii="仿宋" w:hAnsi="仿宋" w:eastAsia="仿宋" w:cs="仿宋"/>
                <w:sz w:val="24"/>
                <w:szCs w:val="24"/>
              </w:rPr>
              <w:t>计</w:t>
            </w: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r>
              <w:rPr>
                <w:rFonts w:hint="eastAsia" w:ascii="仿宋" w:hAnsi="仿宋" w:eastAsia="仿宋" w:cs="仿宋"/>
                <w:w w:val="99"/>
                <w:sz w:val="24"/>
                <w:szCs w:val="24"/>
              </w:rPr>
              <w:t>23.95</w:t>
            </w: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tc>
      </w:tr>
      <w:tr>
        <w:tblPrEx>
          <w:tblCellMar>
            <w:top w:w="0" w:type="dxa"/>
            <w:left w:w="10" w:type="dxa"/>
            <w:bottom w:w="0" w:type="dxa"/>
            <w:right w:w="10" w:type="dxa"/>
          </w:tblCellMar>
        </w:tblPrEx>
        <w:trPr>
          <w:cantSplit/>
          <w:trHeight w:val="3837"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ascii="Times New Roman" w:hAnsi="Times New Roman" w:cs="Times New Roman"/>
              </w:rPr>
            </w:pPr>
          </w:p>
          <w:p>
            <w:pPr>
              <w:kinsoku w:val="0"/>
              <w:autoSpaceDE w:val="0"/>
              <w:autoSpaceDN w:val="0"/>
              <w:adjustRightInd w:val="0"/>
              <w:spacing w:before="240" w:beforeLines="100" w:after="100" w:afterAutospacing="1" w:line="240" w:lineRule="exact"/>
              <w:jc w:val="center"/>
              <w:textAlignment w:val="baseline"/>
              <w:rPr>
                <w:rFonts w:hint="eastAsia" w:ascii="Times New Roman" w:hAnsi="Times New Roman" w:cs="Times New Roman" w:eastAsiaTheme="minorEastAsia"/>
                <w:lang w:val="en-US" w:eastAsia="zh-CN"/>
              </w:rPr>
            </w:pPr>
            <w:r>
              <w:rPr>
                <w:rFonts w:hint="eastAsia" w:ascii="Times New Roman" w:hAnsi="Times New Roman" w:cs="Times New Roman"/>
              </w:rPr>
              <w:t>2</w:t>
            </w:r>
            <w:r>
              <w:rPr>
                <w:rFonts w:hint="eastAsia" w:ascii="Times New Roman" w:hAnsi="Times New Roman" w:cs="Times New Roman"/>
                <w:lang w:val="en-US" w:eastAsia="zh-CN"/>
              </w:rPr>
              <w:t>5</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sz w:val="24"/>
                <w:szCs w:val="24"/>
              </w:rPr>
            </w:pP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sz w:val="24"/>
                <w:szCs w:val="24"/>
              </w:rPr>
            </w:pPr>
            <w:r>
              <w:rPr>
                <w:rFonts w:ascii="仿宋" w:hAnsi="仿宋" w:eastAsia="仿宋" w:cs="仿宋"/>
                <w:b/>
                <w:spacing w:val="1"/>
                <w:w w:val="99"/>
                <w:sz w:val="24"/>
                <w:szCs w:val="24"/>
                <w14:textOutline w14:w="0" w14:cap="rnd" w14:cmpd="sng" w14:algn="ctr">
                  <w14:solidFill>
                    <w14:srgbClr w14:val="000000"/>
                  </w14:solidFill>
                  <w14:prstDash w14:val="solid"/>
                  <w14:bevel/>
                </w14:textOutline>
              </w:rPr>
              <w:t>项</w:t>
            </w:r>
            <w:r>
              <w:rPr>
                <w:rFonts w:ascii="仿宋" w:hAnsi="仿宋" w:eastAsia="仿宋" w:cs="仿宋"/>
                <w:b/>
                <w:w w:val="99"/>
                <w:sz w:val="24"/>
                <w:szCs w:val="24"/>
                <w14:textOutline w14:w="0" w14:cap="rnd" w14:cmpd="sng" w14:algn="ctr">
                  <w14:solidFill>
                    <w14:srgbClr w14:val="000000"/>
                  </w14:solidFill>
                  <w14:prstDash w14:val="solid"/>
                  <w14:bevel/>
                </w14:textOutline>
              </w:rPr>
              <w:t>目</w:t>
            </w:r>
            <w:r>
              <w:rPr>
                <w:rFonts w:ascii="仿宋" w:hAnsi="仿宋" w:eastAsia="仿宋" w:cs="仿宋"/>
                <w:b/>
                <w:sz w:val="24"/>
                <w:szCs w:val="24"/>
                <w14:textOutline w14:w="0" w14:cap="rnd" w14:cmpd="sng" w14:algn="ctr">
                  <w14:solidFill>
                    <w14:srgbClr w14:val="000000"/>
                  </w14:solidFill>
                  <w14:prstDash w14:val="solid"/>
                  <w14:bevel/>
                </w14:textOutline>
              </w:rPr>
              <w:t>承担单位要求：</w:t>
            </w:r>
          </w:p>
          <w:p>
            <w:pPr>
              <w:kinsoku w:val="0"/>
              <w:wordWrap w:val="0"/>
              <w:autoSpaceDE w:val="0"/>
              <w:autoSpaceDN w:val="0"/>
              <w:adjustRightInd w:val="0"/>
              <w:spacing w:before="17" w:line="239" w:lineRule="auto"/>
              <w:ind w:right="167" w:firstLine="480"/>
              <w:textAlignment w:val="baseline"/>
              <w:rPr>
                <w:rFonts w:hint="eastAsia" w:ascii="仿宋" w:hAnsi="仿宋" w:eastAsia="仿宋" w:cs="仿宋"/>
                <w:sz w:val="24"/>
                <w:szCs w:val="24"/>
              </w:rPr>
            </w:pPr>
            <w:r>
              <w:rPr>
                <w:rFonts w:ascii="仿宋" w:hAnsi="仿宋" w:eastAsia="仿宋" w:cs="仿宋"/>
                <w:w w:val="99"/>
                <w:sz w:val="24"/>
                <w:szCs w:val="24"/>
              </w:rPr>
              <w:t>1.国</w:t>
            </w:r>
            <w:r>
              <w:rPr>
                <w:rFonts w:ascii="仿宋" w:hAnsi="仿宋" w:eastAsia="仿宋" w:cs="仿宋"/>
                <w:sz w:val="24"/>
                <w:szCs w:val="24"/>
              </w:rPr>
              <w:t>内注册（指按国家有关规定要求注册的）生产或经营本</w:t>
            </w:r>
            <w:r>
              <w:rPr>
                <w:rFonts w:ascii="仿宋" w:hAnsi="仿宋" w:eastAsia="仿宋" w:cs="仿宋"/>
                <w:w w:val="99"/>
                <w:sz w:val="24"/>
                <w:szCs w:val="24"/>
              </w:rPr>
              <w:t>次采</w:t>
            </w:r>
            <w:r>
              <w:rPr>
                <w:rFonts w:ascii="仿宋" w:hAnsi="仿宋" w:eastAsia="仿宋" w:cs="仿宋"/>
                <w:sz w:val="24"/>
                <w:szCs w:val="24"/>
              </w:rPr>
              <w:t>购服务，具备法人资格的供应商。同时具备《中华人民共和</w:t>
            </w:r>
            <w:r>
              <w:rPr>
                <w:rFonts w:ascii="仿宋" w:hAnsi="仿宋" w:eastAsia="仿宋" w:cs="仿宋"/>
                <w:w w:val="99"/>
                <w:sz w:val="24"/>
                <w:szCs w:val="24"/>
              </w:rPr>
              <w:t>国</w:t>
            </w:r>
            <w:r>
              <w:rPr>
                <w:rFonts w:ascii="仿宋" w:hAnsi="仿宋" w:eastAsia="仿宋" w:cs="仿宋"/>
                <w:sz w:val="24"/>
                <w:szCs w:val="24"/>
              </w:rPr>
              <w:t>政府采购法》有关规定条件的供应商。</w:t>
            </w:r>
          </w:p>
          <w:p>
            <w:pPr>
              <w:kinsoku w:val="0"/>
              <w:wordWrap w:val="0"/>
              <w:autoSpaceDE w:val="0"/>
              <w:autoSpaceDN w:val="0"/>
              <w:adjustRightInd w:val="0"/>
              <w:spacing w:before="1" w:line="239" w:lineRule="auto"/>
              <w:ind w:right="167" w:firstLine="480"/>
              <w:textAlignment w:val="baseline"/>
              <w:rPr>
                <w:rFonts w:hint="eastAsia" w:ascii="仿宋" w:hAnsi="仿宋" w:eastAsia="仿宋" w:cs="仿宋"/>
                <w:sz w:val="24"/>
                <w:szCs w:val="24"/>
              </w:rPr>
            </w:pPr>
            <w:r>
              <w:rPr>
                <w:rFonts w:ascii="仿宋" w:hAnsi="仿宋" w:eastAsia="仿宋" w:cs="仿宋"/>
                <w:w w:val="99"/>
                <w:sz w:val="24"/>
                <w:szCs w:val="24"/>
              </w:rPr>
              <w:t>2.拥</w:t>
            </w:r>
            <w:r>
              <w:rPr>
                <w:rFonts w:ascii="仿宋" w:hAnsi="仿宋" w:eastAsia="仿宋" w:cs="仿宋"/>
                <w:sz w:val="24"/>
                <w:szCs w:val="24"/>
              </w:rPr>
              <w:t>有消防技术服务机构二级及以上资质，承担过相关工作</w:t>
            </w:r>
            <w:r>
              <w:rPr>
                <w:rFonts w:ascii="仿宋" w:hAnsi="仿宋" w:eastAsia="仿宋" w:cs="仿宋"/>
                <w:w w:val="99"/>
                <w:sz w:val="24"/>
                <w:szCs w:val="24"/>
              </w:rPr>
              <w:t>或</w:t>
            </w:r>
            <w:r>
              <w:rPr>
                <w:rFonts w:ascii="仿宋" w:hAnsi="仿宋" w:eastAsia="仿宋" w:cs="仿宋"/>
                <w:sz w:val="24"/>
                <w:szCs w:val="24"/>
              </w:rPr>
              <w:t>有相关经验者优先。</w:t>
            </w:r>
          </w:p>
          <w:p>
            <w:pPr>
              <w:kinsoku w:val="0"/>
              <w:wordWrap w:val="0"/>
              <w:autoSpaceDE w:val="0"/>
              <w:autoSpaceDN w:val="0"/>
              <w:adjustRightInd w:val="0"/>
              <w:spacing w:before="3" w:line="239" w:lineRule="auto"/>
              <w:ind w:right="167" w:firstLine="480"/>
              <w:textAlignment w:val="baseline"/>
              <w:rPr>
                <w:rFonts w:ascii="仿宋" w:hAnsi="仿宋" w:eastAsia="仿宋" w:cs="仿宋"/>
                <w:sz w:val="24"/>
                <w:szCs w:val="24"/>
              </w:rPr>
            </w:pPr>
            <w:r>
              <w:rPr>
                <w:rFonts w:ascii="仿宋" w:hAnsi="仿宋" w:eastAsia="仿宋" w:cs="仿宋"/>
                <w:w w:val="99"/>
                <w:sz w:val="24"/>
                <w:szCs w:val="24"/>
              </w:rPr>
              <w:t>3.参</w:t>
            </w:r>
            <w:r>
              <w:rPr>
                <w:rFonts w:ascii="仿宋" w:hAnsi="仿宋" w:eastAsia="仿宋" w:cs="仿宋"/>
                <w:sz w:val="24"/>
                <w:szCs w:val="24"/>
              </w:rPr>
              <w:t>加采购活动前三年内，在经营活动中没有违法记录，承</w:t>
            </w:r>
            <w:r>
              <w:rPr>
                <w:rFonts w:ascii="仿宋" w:hAnsi="仿宋" w:eastAsia="仿宋" w:cs="仿宋"/>
                <w:w w:val="99"/>
                <w:sz w:val="24"/>
                <w:szCs w:val="24"/>
              </w:rPr>
              <w:t>担机</w:t>
            </w:r>
            <w:r>
              <w:rPr>
                <w:rFonts w:ascii="仿宋" w:hAnsi="仿宋" w:eastAsia="仿宋" w:cs="仿宋"/>
                <w:sz w:val="24"/>
                <w:szCs w:val="24"/>
              </w:rPr>
              <w:t>构及其现任法定代表人（主要负责人）不得具有行贿等犯罪</w:t>
            </w:r>
            <w:r>
              <w:rPr>
                <w:rFonts w:ascii="仿宋" w:hAnsi="仿宋" w:eastAsia="仿宋" w:cs="仿宋"/>
                <w:w w:val="99"/>
                <w:sz w:val="24"/>
                <w:szCs w:val="24"/>
              </w:rPr>
              <w:t>记</w:t>
            </w:r>
            <w:r>
              <w:rPr>
                <w:rFonts w:ascii="仿宋" w:hAnsi="仿宋" w:eastAsia="仿宋" w:cs="仿宋"/>
                <w:sz w:val="24"/>
                <w:szCs w:val="24"/>
              </w:rPr>
              <w:t>录。</w:t>
            </w:r>
          </w:p>
          <w:p>
            <w:pPr>
              <w:kinsoku w:val="0"/>
              <w:wordWrap w:val="0"/>
              <w:autoSpaceDE w:val="0"/>
              <w:autoSpaceDN w:val="0"/>
              <w:adjustRightInd w:val="0"/>
              <w:spacing w:before="3" w:line="239" w:lineRule="auto"/>
              <w:ind w:right="167" w:firstLine="480"/>
              <w:textAlignment w:val="baseline"/>
              <w:rPr>
                <w:rFonts w:hint="eastAsia" w:ascii="仿宋" w:hAnsi="仿宋" w:eastAsia="仿宋" w:cs="仿宋"/>
                <w:b/>
                <w:spacing w:val="1"/>
                <w:w w:val="99"/>
                <w:sz w:val="24"/>
                <w:szCs w:val="24"/>
                <w14:textOutline w14:w="0" w14:cap="rnd" w14:cmpd="sng" w14:algn="ctr">
                  <w14:solidFill>
                    <w14:srgbClr w14:val="000000"/>
                  </w14:solidFill>
                  <w14:prstDash w14:val="solid"/>
                  <w14:bevel/>
                </w14:textOutline>
              </w:rPr>
            </w:pPr>
            <w:r>
              <w:rPr>
                <w:rFonts w:ascii="仿宋" w:hAnsi="仿宋" w:eastAsia="仿宋" w:cs="仿宋"/>
                <w:w w:val="99"/>
                <w:sz w:val="24"/>
                <w:szCs w:val="24"/>
              </w:rPr>
              <w:t>4.</w:t>
            </w:r>
            <w:r>
              <w:rPr>
                <w:rFonts w:ascii="仿宋" w:hAnsi="仿宋" w:eastAsia="仿宋" w:cs="仿宋"/>
                <w:sz w:val="24"/>
                <w:szCs w:val="24"/>
              </w:rPr>
              <w:t>本项目不接受联合体参加。</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w w:val="99"/>
                <w:sz w:val="24"/>
                <w:szCs w:val="24"/>
              </w:rPr>
            </w:pP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w w:val="99"/>
                <w:sz w:val="24"/>
                <w:szCs w:val="24"/>
              </w:rPr>
            </w:pP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w w:val="99"/>
                <w:sz w:val="24"/>
                <w:szCs w:val="24"/>
              </w:rPr>
            </w:pP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w w:val="99"/>
                <w:sz w:val="24"/>
                <w:szCs w:val="24"/>
              </w:rPr>
            </w:pPr>
          </w:p>
        </w:tc>
      </w:tr>
      <w:tr>
        <w:tblPrEx>
          <w:tblCellMar>
            <w:top w:w="0" w:type="dxa"/>
            <w:left w:w="10" w:type="dxa"/>
            <w:bottom w:w="0" w:type="dxa"/>
            <w:right w:w="10" w:type="dxa"/>
          </w:tblCellMar>
        </w:tblPrEx>
        <w:trPr>
          <w:cantSplit/>
          <w:trHeight w:val="1465" w:hRule="atLeast"/>
        </w:trPr>
        <w:tc>
          <w:tcPr>
            <w:tcW w:w="5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jc w:val="center"/>
              <w:textAlignment w:val="baseline"/>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26</w:t>
            </w:r>
          </w:p>
        </w:tc>
        <w:tc>
          <w:tcPr>
            <w:tcW w:w="9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color w:val="auto"/>
                <w:sz w:val="24"/>
                <w:szCs w:val="24"/>
              </w:rPr>
            </w:pPr>
          </w:p>
        </w:tc>
        <w:tc>
          <w:tcPr>
            <w:tcW w:w="66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wordWrap w:val="0"/>
              <w:autoSpaceDE w:val="0"/>
              <w:autoSpaceDN w:val="0"/>
              <w:adjustRightInd w:val="0"/>
              <w:spacing w:before="17" w:line="239" w:lineRule="auto"/>
              <w:ind w:right="167"/>
              <w:textAlignment w:val="baseline"/>
              <w:rPr>
                <w:rFonts w:hint="eastAsia" w:ascii="仿宋" w:hAnsi="仿宋" w:eastAsia="仿宋" w:cs="仿宋"/>
                <w:b/>
                <w:bCs/>
                <w:color w:val="auto"/>
                <w:w w:val="99"/>
                <w:sz w:val="24"/>
                <w:szCs w:val="24"/>
                <w:lang w:val="en-US" w:eastAsia="zh-CN"/>
              </w:rPr>
            </w:pPr>
            <w:r>
              <w:rPr>
                <w:rFonts w:hint="eastAsia" w:ascii="仿宋" w:hAnsi="仿宋" w:eastAsia="仿宋" w:cs="仿宋"/>
                <w:b/>
                <w:bCs/>
                <w:color w:val="FF0000"/>
                <w:w w:val="99"/>
                <w:sz w:val="24"/>
                <w:szCs w:val="24"/>
                <w:lang w:val="en-US" w:eastAsia="zh-CN"/>
              </w:rPr>
              <w:t>有关说明：</w:t>
            </w:r>
          </w:p>
          <w:p>
            <w:pPr>
              <w:kinsoku w:val="0"/>
              <w:wordWrap w:val="0"/>
              <w:autoSpaceDE w:val="0"/>
              <w:autoSpaceDN w:val="0"/>
              <w:adjustRightInd w:val="0"/>
              <w:spacing w:before="17" w:line="239" w:lineRule="auto"/>
              <w:ind w:right="167" w:firstLine="480"/>
              <w:textAlignment w:val="baseline"/>
              <w:rPr>
                <w:rFonts w:hint="default" w:ascii="仿宋" w:hAnsi="仿宋" w:eastAsia="仿宋" w:cs="仿宋"/>
                <w:b/>
                <w:bCs/>
                <w:color w:val="auto"/>
                <w:w w:val="99"/>
                <w:sz w:val="24"/>
                <w:szCs w:val="24"/>
                <w:lang w:val="en-US" w:eastAsia="zh-CN"/>
              </w:rPr>
            </w:pPr>
            <w:r>
              <w:rPr>
                <w:rFonts w:hint="eastAsia" w:ascii="仿宋" w:hAnsi="仿宋" w:eastAsia="仿宋" w:cs="仿宋"/>
                <w:color w:val="auto"/>
                <w:w w:val="99"/>
                <w:sz w:val="24"/>
                <w:szCs w:val="24"/>
                <w:lang w:val="en-US" w:eastAsia="zh-CN"/>
              </w:rPr>
              <w:t>整改项目完成后，生态环境部有关部门将聘请第三方机构进行结算审核，项目承担方应无条件配合。最终，生态环境部有关部门以第三方机构结算审核结果为准向项目承担方支付费用。</w:t>
            </w:r>
          </w:p>
        </w:tc>
        <w:tc>
          <w:tcPr>
            <w:tcW w:w="13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345"/>
              <w:textAlignment w:val="baseline"/>
              <w:rPr>
                <w:rFonts w:hint="eastAsia" w:ascii="仿宋" w:hAnsi="仿宋" w:eastAsia="仿宋" w:cs="仿宋"/>
                <w:color w:val="FF0000"/>
                <w:w w:val="99"/>
                <w:sz w:val="24"/>
                <w:szCs w:val="24"/>
              </w:rPr>
            </w:pPr>
          </w:p>
        </w:tc>
        <w:tc>
          <w:tcPr>
            <w:tcW w:w="1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165"/>
              <w:textAlignment w:val="baseline"/>
              <w:rPr>
                <w:rFonts w:hint="eastAsia" w:ascii="仿宋" w:hAnsi="仿宋" w:eastAsia="仿宋" w:cs="仿宋"/>
                <w:color w:val="FF0000"/>
                <w:w w:val="99"/>
                <w:sz w:val="24"/>
                <w:szCs w:val="24"/>
              </w:rPr>
            </w:pPr>
          </w:p>
        </w:tc>
        <w:tc>
          <w:tcPr>
            <w:tcW w:w="13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ind w:left="206"/>
              <w:textAlignment w:val="baseline"/>
              <w:rPr>
                <w:rFonts w:hint="eastAsia" w:ascii="仿宋" w:hAnsi="仿宋" w:eastAsia="仿宋" w:cs="仿宋"/>
                <w:color w:val="FF0000"/>
                <w:w w:val="99"/>
                <w:sz w:val="24"/>
                <w:szCs w:val="24"/>
              </w:rPr>
            </w:pPr>
          </w:p>
        </w:tc>
        <w:tc>
          <w:tcPr>
            <w:tcW w:w="20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pPr>
              <w:kinsoku w:val="0"/>
              <w:autoSpaceDE w:val="0"/>
              <w:autoSpaceDN w:val="0"/>
              <w:adjustRightInd w:val="0"/>
              <w:spacing w:before="240" w:beforeLines="100" w:after="100" w:afterAutospacing="1" w:line="240" w:lineRule="exact"/>
              <w:textAlignment w:val="baseline"/>
              <w:rPr>
                <w:rFonts w:hint="eastAsia" w:ascii="仿宋" w:hAnsi="仿宋" w:eastAsia="仿宋" w:cs="仿宋"/>
                <w:color w:val="FF0000"/>
                <w:w w:val="99"/>
                <w:sz w:val="24"/>
                <w:szCs w:val="24"/>
              </w:rPr>
            </w:pPr>
          </w:p>
        </w:tc>
      </w:tr>
    </w:tbl>
    <w:p>
      <w:pPr>
        <w:spacing w:before="100" w:beforeAutospacing="1" w:after="100" w:afterAutospacing="1" w:line="240" w:lineRule="exact"/>
        <w:rPr>
          <w:sz w:val="0"/>
          <w:szCs w:val="0"/>
        </w:rPr>
        <w:sectPr>
          <w:type w:val="continuous"/>
          <w:pgSz w:w="16840" w:h="11920"/>
          <w:pgMar w:top="660" w:right="1368" w:bottom="813" w:left="1508" w:header="0" w:footer="0" w:gutter="0"/>
          <w:cols w:space="425" w:num="1"/>
        </w:sectPr>
      </w:pPr>
    </w:p>
    <w:p>
      <w:pPr>
        <w:kinsoku w:val="0"/>
        <w:wordWrap w:val="0"/>
        <w:autoSpaceDE w:val="0"/>
        <w:autoSpaceDN w:val="0"/>
        <w:adjustRightInd w:val="0"/>
        <w:spacing w:before="1" w:line="250" w:lineRule="auto"/>
        <w:jc w:val="both"/>
        <w:textAlignment w:val="baseline"/>
        <w:rPr>
          <w:sz w:val="20"/>
          <w:szCs w:val="20"/>
        </w:rPr>
      </w:pPr>
    </w:p>
    <w:sectPr>
      <w:type w:val="continuous"/>
      <w:pgSz w:w="16840" w:h="11920"/>
      <w:pgMar w:top="660" w:right="1368" w:bottom="1012" w:left="1508"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287" w:usb1="080F0000" w:usb2="00000000" w:usb3="00000000" w:csb0="0004009F" w:csb1="DFD70000"/>
  </w:font>
  <w:font w:name="Microsoft JhengHei">
    <w:altName w:val="方正书宋_GBK"/>
    <w:panose1 w:val="020B0604030504040204"/>
    <w:charset w:val="88"/>
    <w:family w:val="swiss"/>
    <w:pitch w:val="default"/>
    <w:sig w:usb0="00000000" w:usb1="00000000" w:usb2="00000016" w:usb3="00000000" w:csb0="00100009"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D51"/>
    <w:rsid w:val="000A0AD5"/>
    <w:rsid w:val="00153676"/>
    <w:rsid w:val="00176BBD"/>
    <w:rsid w:val="001B5A67"/>
    <w:rsid w:val="00247E9C"/>
    <w:rsid w:val="002A0E05"/>
    <w:rsid w:val="003F34FA"/>
    <w:rsid w:val="0040170D"/>
    <w:rsid w:val="004133AD"/>
    <w:rsid w:val="00480C05"/>
    <w:rsid w:val="00485500"/>
    <w:rsid w:val="00575F8F"/>
    <w:rsid w:val="005C33D8"/>
    <w:rsid w:val="005C43BF"/>
    <w:rsid w:val="006024D6"/>
    <w:rsid w:val="006B672C"/>
    <w:rsid w:val="0082588B"/>
    <w:rsid w:val="00834113"/>
    <w:rsid w:val="008F695B"/>
    <w:rsid w:val="00957D4B"/>
    <w:rsid w:val="00987E6D"/>
    <w:rsid w:val="00A40585"/>
    <w:rsid w:val="00B30373"/>
    <w:rsid w:val="00CE4EAC"/>
    <w:rsid w:val="00D06958"/>
    <w:rsid w:val="00D23166"/>
    <w:rsid w:val="00DB07BC"/>
    <w:rsid w:val="00DB3670"/>
    <w:rsid w:val="00EF7D51"/>
    <w:rsid w:val="2FF030C0"/>
    <w:rsid w:val="305B1AF7"/>
    <w:rsid w:val="313C59EB"/>
    <w:rsid w:val="32ED4E8D"/>
    <w:rsid w:val="34D25AE3"/>
    <w:rsid w:val="49846318"/>
    <w:rsid w:val="663C7A3F"/>
    <w:rsid w:val="668D4624"/>
    <w:rsid w:val="6A4F0BF7"/>
    <w:rsid w:val="718860C5"/>
    <w:rsid w:val="AD6D8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Arial" w:hAnsi="Arial" w:cs="Arial" w:eastAsiaTheme="minorEastAsia"/>
      <w:color w:val="000000"/>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semiHidden/>
    <w:unhideWhenUsed/>
    <w:uiPriority w:val="99"/>
  </w:style>
  <w:style w:type="paragraph" w:styleId="3">
    <w:name w:val="footer"/>
    <w:basedOn w:val="1"/>
    <w:link w:val="10"/>
    <w:unhideWhenUsed/>
    <w:qFormat/>
    <w:uiPriority w:val="99"/>
    <w:pPr>
      <w:tabs>
        <w:tab w:val="center" w:pos="4153"/>
        <w:tab w:val="right" w:pos="8306"/>
      </w:tabs>
      <w:snapToGrid w:val="0"/>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paragraph" w:styleId="5">
    <w:name w:val="annotation subject"/>
    <w:basedOn w:val="2"/>
    <w:next w:val="2"/>
    <w:link w:val="12"/>
    <w:semiHidden/>
    <w:unhideWhenUsed/>
    <w:qFormat/>
    <w:uiPriority w:val="99"/>
    <w:rPr>
      <w:b/>
      <w:bCs/>
    </w:rPr>
  </w:style>
  <w:style w:type="character" w:styleId="8">
    <w:name w:val="annotation reference"/>
    <w:basedOn w:val="7"/>
    <w:semiHidden/>
    <w:unhideWhenUsed/>
    <w:qFormat/>
    <w:uiPriority w:val="99"/>
    <w:rPr>
      <w:sz w:val="21"/>
      <w:szCs w:val="21"/>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文字 字符"/>
    <w:basedOn w:val="7"/>
    <w:link w:val="2"/>
    <w:semiHidden/>
    <w:qFormat/>
    <w:uiPriority w:val="99"/>
  </w:style>
  <w:style w:type="character" w:customStyle="1" w:styleId="12">
    <w:name w:val="批注主题 字符"/>
    <w:basedOn w:val="11"/>
    <w:link w:val="5"/>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1050</Words>
  <Characters>1208</Characters>
  <Lines>302</Lines>
  <Paragraphs>225</Paragraphs>
  <TotalTime>6</TotalTime>
  <ScaleCrop>false</ScaleCrop>
  <LinksUpToDate>false</LinksUpToDate>
  <CharactersWithSpaces>2033</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2025-11-10T08:45:00Z</dcterms:created>
  <dc:creator>Administrator</dc:creator>
  <cp:lastModifiedBy>郑超</cp:lastModifiedBy>
  <dcterms:modified xsi:type="dcterms:W3CDTF">2025-11-19T16:57:20Z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E6EFC4FA4B7D4EE2AD1053A3C4E335CE</vt:lpwstr>
  </property>
</Properties>
</file>