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8" w:lineRule="auto"/>
        <w:rPr>
          <w:rFonts w:hint="eastAsia" w:ascii="黑体" w:hAnsi="黑体" w:eastAsia="黑体"/>
          <w:sz w:val="32"/>
          <w:szCs w:val="32"/>
        </w:rPr>
      </w:pPr>
    </w:p>
    <w:p>
      <w:pPr>
        <w:tabs>
          <w:tab w:val="center" w:pos="4153"/>
          <w:tab w:val="left" w:pos="6229"/>
        </w:tabs>
        <w:adjustRightInd w:val="0"/>
        <w:snapToGrid w:val="0"/>
        <w:jc w:val="center"/>
        <w:outlineLvl w:val="0"/>
        <w:rPr>
          <w:rFonts w:hint="eastAsia" w:ascii="方正小标宋_GBK" w:hAnsi="华文中宋" w:eastAsia="方正小标宋_GBK" w:cs="华文中宋"/>
          <w:bCs/>
          <w:sz w:val="44"/>
          <w:szCs w:val="44"/>
        </w:rPr>
      </w:pPr>
      <w:bookmarkStart w:id="0" w:name="_Hlk129874752"/>
      <w:bookmarkStart w:id="1" w:name="_Toc129875284"/>
      <w:bookmarkStart w:id="2" w:name="_Hlk146046764"/>
    </w:p>
    <w:p>
      <w:pPr>
        <w:keepNext w:val="0"/>
        <w:keepLines w:val="0"/>
        <w:pageBreakBefore w:val="0"/>
        <w:widowControl w:val="0"/>
        <w:tabs>
          <w:tab w:val="center" w:pos="4153"/>
          <w:tab w:val="left" w:pos="6229"/>
        </w:tabs>
        <w:kinsoku/>
        <w:wordWrap/>
        <w:overflowPunct/>
        <w:topLinePunct w:val="0"/>
        <w:autoSpaceDE/>
        <w:autoSpaceDN/>
        <w:bidi w:val="0"/>
        <w:adjustRightInd w:val="0"/>
        <w:snapToGrid w:val="0"/>
        <w:spacing w:line="360" w:lineRule="auto"/>
        <w:jc w:val="center"/>
        <w:textAlignment w:val="auto"/>
        <w:outlineLvl w:val="0"/>
        <w:rPr>
          <w:rFonts w:hint="eastAsia" w:ascii="方正小标宋_GBK" w:hAnsi="华文中宋" w:eastAsia="方正小标宋_GBK" w:cs="华文中宋"/>
          <w:bCs/>
          <w:sz w:val="44"/>
          <w:szCs w:val="44"/>
        </w:rPr>
      </w:pPr>
      <w:r>
        <w:rPr>
          <w:rFonts w:hint="eastAsia" w:ascii="方正小标宋_GBK" w:hAnsi="华文中宋" w:eastAsia="方正小标宋_GBK" w:cs="华文中宋"/>
          <w:bCs/>
          <w:sz w:val="44"/>
          <w:szCs w:val="44"/>
        </w:rPr>
        <w:t>排污许可管理办法</w:t>
      </w:r>
      <w:bookmarkEnd w:id="0"/>
      <w:bookmarkEnd w:id="1"/>
    </w:p>
    <w:bookmarkEnd w:id="2"/>
    <w:p>
      <w:pPr>
        <w:keepNext w:val="0"/>
        <w:keepLines w:val="0"/>
        <w:pageBreakBefore w:val="0"/>
        <w:widowControl/>
        <w:shd w:val="clear" w:color="auto" w:fill="FFFFFF"/>
        <w:suppressAutoHyphens w:val="0"/>
        <w:kinsoku/>
        <w:wordWrap/>
        <w:overflowPunct/>
        <w:topLinePunct w:val="0"/>
        <w:autoSpaceDE/>
        <w:autoSpaceDN/>
        <w:bidi w:val="0"/>
        <w:adjustRightInd/>
        <w:snapToGrid w:val="0"/>
        <w:spacing w:line="360" w:lineRule="auto"/>
        <w:ind w:firstLine="640" w:firstLineChars="200"/>
        <w:jc w:val="left"/>
        <w:textAlignment w:val="auto"/>
        <w:outlineLvl w:val="2"/>
        <w:rPr>
          <w:rFonts w:hint="eastAsia" w:ascii="楷体_GB2312" w:hAnsi="仿宋" w:eastAsia="楷体_GB2312" w:cs="宋体"/>
          <w:color w:val="000000"/>
          <w:kern w:val="0"/>
          <w:sz w:val="32"/>
          <w:szCs w:val="32"/>
        </w:rPr>
      </w:pPr>
      <w:r>
        <w:rPr>
          <w:rFonts w:hint="eastAsia" w:ascii="楷体_GB2312" w:hAnsi="仿宋" w:eastAsia="楷体_GB2312" w:cs="宋体"/>
          <w:color w:val="000000"/>
          <w:kern w:val="0"/>
          <w:sz w:val="32"/>
          <w:szCs w:val="32"/>
        </w:rPr>
        <w:t>（2024年4月1日生态环境部令第32号公布</w:t>
      </w:r>
      <w:r>
        <w:rPr>
          <w:rFonts w:hint="eastAsia" w:ascii="楷体_GB2312" w:hAnsi="仿宋" w:eastAsia="楷体_GB2312" w:cs="宋体"/>
          <w:color w:val="000000"/>
          <w:kern w:val="0"/>
          <w:sz w:val="32"/>
          <w:szCs w:val="32"/>
          <w:lang w:val="en-US" w:eastAsia="zh-CN"/>
        </w:rPr>
        <w:t xml:space="preserve"> </w:t>
      </w:r>
      <w:r>
        <w:rPr>
          <w:rFonts w:hint="eastAsia" w:ascii="楷体_GB2312" w:hAnsi="仿宋" w:eastAsia="楷体_GB2312" w:cs="宋体"/>
          <w:color w:val="000000"/>
          <w:kern w:val="0"/>
          <w:sz w:val="32"/>
          <w:szCs w:val="32"/>
        </w:rPr>
        <w:t>根据2026年</w:t>
      </w:r>
      <w:r>
        <w:rPr>
          <w:rFonts w:hint="eastAsia" w:ascii="楷体_GB2312" w:hAnsi="仿宋" w:eastAsia="楷体_GB2312" w:cs="宋体"/>
          <w:color w:val="000000"/>
          <w:kern w:val="0"/>
          <w:sz w:val="32"/>
          <w:szCs w:val="32"/>
          <w:lang w:eastAsia="zh-CN"/>
        </w:rPr>
        <w:t>9月20日</w:t>
      </w:r>
      <w:r>
        <w:rPr>
          <w:rFonts w:hint="eastAsia" w:ascii="楷体_GB2312" w:hAnsi="仿宋" w:eastAsia="楷体_GB2312" w:cs="宋体"/>
          <w:color w:val="000000"/>
          <w:kern w:val="0"/>
          <w:sz w:val="32"/>
          <w:szCs w:val="32"/>
        </w:rPr>
        <w:t>《关于修改和废止部分规章的决定》修正）</w:t>
      </w:r>
    </w:p>
    <w:p>
      <w:pPr>
        <w:keepNext w:val="0"/>
        <w:keepLines w:val="0"/>
        <w:pageBreakBefore w:val="0"/>
        <w:widowControl w:val="0"/>
        <w:kinsoku/>
        <w:wordWrap/>
        <w:overflowPunct/>
        <w:topLinePunct w:val="0"/>
        <w:autoSpaceDE/>
        <w:autoSpaceDN/>
        <w:bidi w:val="0"/>
        <w:adjustRightInd w:val="0"/>
        <w:snapToGrid w:val="0"/>
        <w:spacing w:before="312" w:beforeLines="100" w:after="468" w:afterLines="150"/>
        <w:jc w:val="center"/>
        <w:textAlignment w:val="auto"/>
        <w:outlineLvl w:val="0"/>
        <w:rPr>
          <w:rFonts w:ascii="Times New Roman" w:hAnsi="黑体" w:eastAsia="黑体"/>
          <w:sz w:val="30"/>
          <w:szCs w:val="30"/>
        </w:rPr>
      </w:pPr>
      <w:r>
        <w:rPr>
          <w:rFonts w:ascii="Times New Roman" w:hAnsi="黑体" w:eastAsia="黑体"/>
          <w:sz w:val="30"/>
          <w:szCs w:val="30"/>
        </w:rPr>
        <w:t>第一章</w:t>
      </w:r>
      <w:r>
        <w:rPr>
          <w:rFonts w:hint="eastAsia" w:ascii="Times New Roman" w:hAnsi="黑体" w:eastAsia="黑体"/>
          <w:sz w:val="30"/>
          <w:szCs w:val="30"/>
        </w:rPr>
        <w:t xml:space="preserve"> </w:t>
      </w:r>
      <w:r>
        <w:rPr>
          <w:rFonts w:ascii="Times New Roman" w:hAnsi="黑体" w:eastAsia="黑体"/>
          <w:sz w:val="30"/>
          <w:szCs w:val="30"/>
        </w:rPr>
        <w:t xml:space="preserve"> 总</w:t>
      </w:r>
      <w:r>
        <w:rPr>
          <w:rFonts w:hint="eastAsia" w:ascii="Times New Roman" w:hAnsi="黑体" w:eastAsia="黑体"/>
          <w:sz w:val="30"/>
          <w:szCs w:val="30"/>
        </w:rPr>
        <w:t xml:space="preserve">  </w:t>
      </w:r>
      <w:r>
        <w:rPr>
          <w:rFonts w:ascii="Times New Roman" w:hAnsi="黑体" w:eastAsia="黑体"/>
          <w:sz w:val="30"/>
          <w:szCs w:val="30"/>
        </w:rPr>
        <w:t>则</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第一条</w:t>
      </w:r>
      <w:r>
        <w:rPr>
          <w:rFonts w:hint="eastAsia" w:eastAsia="仿宋" w:cs="Calibri"/>
          <w:color w:val="000000"/>
          <w:kern w:val="0"/>
          <w:sz w:val="30"/>
          <w:szCs w:val="30"/>
        </w:rPr>
        <w:t xml:space="preserve">  </w:t>
      </w:r>
      <w:r>
        <w:rPr>
          <w:rFonts w:hint="default" w:ascii="Times New Roman" w:hAnsi="Times New Roman" w:eastAsia="仿宋_GB2312" w:cs="Times New Roman"/>
          <w:color w:val="000000"/>
          <w:kern w:val="0"/>
          <w:sz w:val="30"/>
          <w:szCs w:val="30"/>
        </w:rPr>
        <w:t>为了规范排污许可管理，根据《中华人民共和国生态环境法典》以及《排污许可管理条例》（以下简称《条例》）等法律法规，制定本办法</w:t>
      </w:r>
      <w:r>
        <w:rPr>
          <w:rFonts w:ascii="仿宋_GB2312" w:hAnsi="仿宋" w:eastAsia="仿宋_GB2312" w:cs="宋体"/>
          <w:color w:val="000000"/>
          <w:kern w:val="0"/>
          <w:sz w:val="30"/>
          <w:szCs w:val="30"/>
        </w:rPr>
        <w:t>。</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第二条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排污许可证的申请、审批、执行以及与排污许可相关的监督管理等行为，适用本办法。</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第三条</w:t>
      </w:r>
      <w:r>
        <w:rPr>
          <w:rFonts w:hint="eastAsia" w:ascii="仿宋" w:hAnsi="仿宋" w:eastAsia="仿宋" w:cs="宋体"/>
          <w:color w:val="000000"/>
          <w:kern w:val="0"/>
          <w:sz w:val="30"/>
          <w:szCs w:val="30"/>
        </w:rPr>
        <w:t xml:space="preserve">  </w:t>
      </w:r>
      <w:r>
        <w:rPr>
          <w:rFonts w:ascii="仿宋_GB2312" w:hAnsi="仿宋" w:eastAsia="仿宋_GB2312" w:cs="宋体"/>
          <w:color w:val="000000"/>
          <w:kern w:val="0"/>
          <w:sz w:val="30"/>
          <w:szCs w:val="30"/>
        </w:rPr>
        <w:t>依照法律规定实行排污许可管理的企业事业单位和其他生产经营者（以下简称排污单位），应当依法申请取得排污许可证，并按照排污许可证的规定排放污染物；未取得排污许可证的，不得排放污染物。</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依法需要填报排污登记表的企业事业单位和其他生产经营者（以下简称排污登记单位），应当在全国排污许可证管理信息平台进行排污登记。</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第四条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根据污染物产生量、排放量、对生态环境的影响程度等因素，对企业事业单位和其他生产经营者实行排污许可管理（重点管理、简化管理）和排污登记管理。</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实行排污许可重点管理、简化管理的排污单位具体范围，依照固定污染源排污许可分类管理名录规定执行。实行排污登记管理的排污登记单位具体范围由国务院生态环境主管部门制定并公布。</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第五条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国务院生态环境主管部门负责全国排污许可的统一监督管理。</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 w:hAnsi="仿宋" w:eastAsia="仿宋" w:cs="宋体"/>
          <w:color w:val="000000"/>
          <w:kern w:val="0"/>
          <w:sz w:val="30"/>
          <w:szCs w:val="30"/>
        </w:rPr>
      </w:pPr>
      <w:r>
        <w:rPr>
          <w:rFonts w:ascii="仿宋_GB2312" w:hAnsi="仿宋" w:eastAsia="仿宋_GB2312" w:cs="宋体"/>
          <w:color w:val="000000"/>
          <w:kern w:val="0"/>
          <w:sz w:val="30"/>
          <w:szCs w:val="30"/>
        </w:rPr>
        <w:t>省级生态环境主管部门和设区的市级生态环境主管部门负责本行政区域排污许可的监督管理。</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第六条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生态环境主管部门对排污单位的大气污染物、水污染物、工业固体废物、工业噪声等污染物排放行为实行综合许可管理。</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第七条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国务院生态环境主管部门对排污单位及其生产设施、污染防治设施和排放口实行统一编码管理。</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第八条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国务院生态环境主管部门负责建设、运行、维护、管理全国排污许可证管理信息平台。</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排污许可证的申请、受理、审查、审批决定、变更、延续、注销、撤销、信息公开等应当通过全国排污许可证管理信息平台办理。排污单位申请取得排污许可证的，也可以通过信函等方式提交书面申请。</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全国排污许可证管理信息平台中记录的排污许可证相关电子信息与排污许可证正本、副本记载的信息依法具有同等效力。</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第九条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排污许可证执行报告中报告的污染物实际排放量，可以作为开展年度生态环境统计、重点污染物排放总量考核、污染源排放清单编制等工作的依据。</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Times New Roman" w:hAnsi="黑体" w:eastAsia="黑体"/>
          <w:sz w:val="30"/>
          <w:szCs w:val="30"/>
        </w:rPr>
      </w:pPr>
      <w:r>
        <w:rPr>
          <w:rFonts w:ascii="仿宋_GB2312" w:hAnsi="仿宋" w:eastAsia="仿宋_GB2312" w:cs="宋体"/>
          <w:color w:val="000000"/>
          <w:kern w:val="0"/>
          <w:sz w:val="30"/>
          <w:szCs w:val="30"/>
        </w:rPr>
        <w:t>排污许可证应当作为排污权的确认凭证和排污权交易的管理载体。</w:t>
      </w:r>
    </w:p>
    <w:p>
      <w:pPr>
        <w:keepNext w:val="0"/>
        <w:keepLines w:val="0"/>
        <w:pageBreakBefore w:val="0"/>
        <w:widowControl w:val="0"/>
        <w:kinsoku/>
        <w:wordWrap/>
        <w:overflowPunct/>
        <w:topLinePunct w:val="0"/>
        <w:autoSpaceDE/>
        <w:autoSpaceDN/>
        <w:bidi w:val="0"/>
        <w:adjustRightInd w:val="0"/>
        <w:snapToGrid w:val="0"/>
        <w:spacing w:before="312" w:beforeLines="100" w:after="468" w:afterLines="150"/>
        <w:jc w:val="center"/>
        <w:textAlignment w:val="auto"/>
        <w:outlineLvl w:val="0"/>
        <w:rPr>
          <w:rFonts w:ascii="Times New Roman" w:hAnsi="黑体" w:eastAsia="黑体"/>
          <w:sz w:val="30"/>
          <w:szCs w:val="30"/>
        </w:rPr>
      </w:pPr>
      <w:r>
        <w:rPr>
          <w:rFonts w:ascii="Times New Roman" w:hAnsi="黑体" w:eastAsia="黑体"/>
          <w:sz w:val="30"/>
          <w:szCs w:val="30"/>
        </w:rPr>
        <w:t>第二章</w:t>
      </w:r>
      <w:r>
        <w:rPr>
          <w:rFonts w:hint="eastAsia" w:ascii="Times New Roman" w:hAnsi="黑体" w:eastAsia="黑体"/>
          <w:sz w:val="30"/>
          <w:szCs w:val="30"/>
        </w:rPr>
        <w:t xml:space="preserve">  </w:t>
      </w:r>
      <w:r>
        <w:rPr>
          <w:rFonts w:ascii="Times New Roman" w:hAnsi="黑体" w:eastAsia="黑体"/>
          <w:sz w:val="30"/>
          <w:szCs w:val="30"/>
        </w:rPr>
        <w:t>排污许可证和排污登记表内容</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排污许可证由正本和副本构成。</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设区的市级以上地方人民政府生态环境主管部门可以依据地方性法规，增加需要在排污许可证中记载的内容。</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第十一条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排污许可证正本应当记载《条例》第十三条第一、二项规定的基本信息，排污许可证副本应当记载《条例》第十三条规定的所有信息。</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法律法规规定的排污单位应当遵守的大气污染物、水污染物、工业固体废物、工业噪声等控制污染物排放的要求，重污染天气等特殊时段禁止或者限制污染物排放的要求，以及土壤污染重点监管单位的控制有毒有害物质排放、土壤污染隐患排查、自行监测等要求，应当在排污许可证副本中记载。</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第十二条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排污单位承诺执行更加严格的排放限值的，应当在排污许可证副本中记载。</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第十三条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排污登记表应当记载下列信息：</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（一）排污登记单位名称、统一社会信用代码、生产经营场所所在地、行业类别、法定代表人或者实际负责人等基本信息；</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（二）污染物排放去向、执行的污染物排放标准及采取的污染防治措施等。</w:t>
      </w:r>
    </w:p>
    <w:p>
      <w:pPr>
        <w:keepNext w:val="0"/>
        <w:keepLines w:val="0"/>
        <w:pageBreakBefore w:val="0"/>
        <w:widowControl w:val="0"/>
        <w:kinsoku/>
        <w:wordWrap/>
        <w:overflowPunct/>
        <w:topLinePunct w:val="0"/>
        <w:autoSpaceDE/>
        <w:autoSpaceDN/>
        <w:bidi w:val="0"/>
        <w:adjustRightInd w:val="0"/>
        <w:snapToGrid w:val="0"/>
        <w:spacing w:before="312" w:beforeLines="100" w:after="468" w:afterLines="150"/>
        <w:jc w:val="center"/>
        <w:textAlignment w:val="auto"/>
        <w:outlineLvl w:val="0"/>
        <w:rPr>
          <w:rFonts w:ascii="Times New Roman" w:hAnsi="黑体" w:eastAsia="黑体"/>
          <w:sz w:val="30"/>
          <w:szCs w:val="30"/>
        </w:rPr>
      </w:pPr>
      <w:r>
        <w:rPr>
          <w:rFonts w:ascii="Times New Roman" w:hAnsi="黑体" w:eastAsia="黑体"/>
          <w:sz w:val="30"/>
          <w:szCs w:val="30"/>
        </w:rPr>
        <w:t>第三章</w:t>
      </w:r>
      <w:r>
        <w:rPr>
          <w:rFonts w:hint="eastAsia" w:ascii="Times New Roman" w:hAnsi="黑体" w:eastAsia="黑体"/>
          <w:sz w:val="30"/>
          <w:szCs w:val="30"/>
        </w:rPr>
        <w:t xml:space="preserve">  </w:t>
      </w:r>
      <w:r>
        <w:rPr>
          <w:rFonts w:ascii="Times New Roman" w:hAnsi="黑体" w:eastAsia="黑体"/>
          <w:sz w:val="30"/>
          <w:szCs w:val="30"/>
        </w:rPr>
        <w:t>申请与审批</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第十四条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排污单位应当在实际排污行为发生之前，向其生产经营场所所在地设区的市级以上地方人民政府生态环境主管部门（以下简称审批部门）申请取得排污许可证。</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hint="eastAsia" w:ascii="仿宋_GB2312" w:hAnsi="仿宋" w:eastAsia="仿宋_GB2312" w:cs="宋体"/>
          <w:color w:val="000000"/>
          <w:kern w:val="0"/>
          <w:sz w:val="30"/>
          <w:szCs w:val="30"/>
          <w:lang w:eastAsia="zh-CN"/>
        </w:rPr>
      </w:pPr>
      <w:r>
        <w:rPr>
          <w:rFonts w:hint="default" w:ascii="Times New Roman" w:hAnsi="Times New Roman" w:eastAsia="仿宋_GB2312" w:cs="Times New Roman"/>
          <w:color w:val="000000"/>
          <w:kern w:val="0"/>
          <w:sz w:val="30"/>
          <w:szCs w:val="30"/>
        </w:rPr>
        <w:t>海洋工程需要取得排污许可证的，应当向国务院生态环境主管部门或者国务院生态环境主管部门海域派出机构申请</w:t>
      </w:r>
      <w:r>
        <w:rPr>
          <w:rFonts w:hint="eastAsia" w:ascii="仿宋_GB2312" w:hAnsi="仿宋" w:eastAsia="仿宋_GB2312" w:cs="宋体"/>
          <w:color w:val="000000"/>
          <w:kern w:val="0"/>
          <w:sz w:val="30"/>
          <w:szCs w:val="30"/>
          <w:lang w:eastAsia="zh-CN"/>
        </w:rPr>
        <w:t>。</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第十五条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排污单位有两个以上生产经营场所排放污染物的，应当分别向生产经营场所所在地的审批部门申请取得排污许可证。</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第十六条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实行排污许可重点管理的排污单位在提交排污许可证首次申请或者重新申请材料前，应当通过全国排污许可证管理信息平台向社会公开基本信息和拟申请许可事项，并提交说明材料。公开时间不得少于五个工作日。</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第十七条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在填报排污许可证申请表时，应当承诺排污许可证申请材料的完整性、真实性和合法性，承诺按照排污许可证的规定排放污染物，落实排污许可证规定的环境管理要求，并由法定代表人或者主要负责人签字或者盖章。</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第十八条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排污单位应当依照《条例》第七条、第八条规定提交相应材料，并可以对申请材料进行补充说明，一并提交审批部门。</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排污单位申请许可排放量的，应当一并提交排放量限值计算过程。重点污染物排放总量控制指标通过排污权交易获取的，还应当提交排污权交易指标的证明材料。</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 w:hAnsi="仿宋" w:eastAsia="仿宋" w:cs="宋体"/>
          <w:color w:val="000000"/>
          <w:kern w:val="0"/>
          <w:sz w:val="30"/>
          <w:szCs w:val="30"/>
        </w:rPr>
      </w:pPr>
      <w:r>
        <w:rPr>
          <w:rFonts w:ascii="仿宋_GB2312" w:hAnsi="仿宋" w:eastAsia="仿宋_GB2312" w:cs="宋体"/>
          <w:color w:val="000000"/>
          <w:kern w:val="0"/>
          <w:sz w:val="30"/>
          <w:szCs w:val="30"/>
        </w:rPr>
        <w:t>污染物排放口已经建成的排污单位，应当提交有关排放口规范化的情况说明。</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第十九条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排污单位在申请排污许可证时，应当按照自行监测技术指南，编制自行监测方案。</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自行监测方案应当包括以下内容：</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（一）监测点位及示意图、监测指标、监测频次；</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（二）使用的监测分析方法；</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（三）监测质量保证与质量控制要求；</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（四）监测数据记录、整理、存档要求；</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 w:hAnsi="仿宋" w:eastAsia="仿宋" w:cs="宋体"/>
          <w:color w:val="000000"/>
          <w:kern w:val="0"/>
          <w:sz w:val="30"/>
          <w:szCs w:val="30"/>
        </w:rPr>
      </w:pPr>
      <w:r>
        <w:rPr>
          <w:rFonts w:ascii="仿宋_GB2312" w:hAnsi="仿宋" w:eastAsia="仿宋_GB2312" w:cs="宋体"/>
          <w:color w:val="000000"/>
          <w:kern w:val="0"/>
          <w:sz w:val="30"/>
          <w:szCs w:val="30"/>
        </w:rPr>
        <w:t>（五）监测数据信息公开要求。</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审批部门收到排污单位提交的申请材料后，依照《条例》第九条、第十条要求作出处理。</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审批部门可以组织技术机构对排污许可证申请材料进行技术评估，并承担相应费用。技术机构应当遵循科学、客观、公正的原则，提出技术评估意见，并对技术评估意见负责，不得向排污单位收取任何费用。</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技术机构开展技术评估应当遵守国家相关法律法规、标准规范，保守排污单位商业秘密。</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第二十一条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采用相应污染防治可行技术的，或者新建、改建、扩建建设项目排污单位采用生态环境影响报告书（表）批准文件要求的污染防治技术的，审批部门可以认为排污单位采用的污染防治设施或者措施能够达到许可排放浓度要求。</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不符合前款规定情形的，排污单位可以通过提供监测数据证明其采用的污染防治设施可以达到许可排放浓度要求。监测数据应当通过使用符合国家有关</w:t>
      </w:r>
      <w:r>
        <w:rPr>
          <w:rFonts w:hint="eastAsia" w:ascii="仿宋_GB2312" w:hAnsi="仿宋" w:eastAsia="仿宋_GB2312" w:cs="宋体"/>
          <w:color w:val="000000"/>
          <w:kern w:val="0"/>
          <w:sz w:val="30"/>
          <w:szCs w:val="30"/>
          <w:lang w:eastAsia="zh-CN"/>
        </w:rPr>
        <w:t>生态</w:t>
      </w:r>
      <w:r>
        <w:rPr>
          <w:rFonts w:ascii="仿宋_GB2312" w:hAnsi="仿宋" w:eastAsia="仿宋_GB2312" w:cs="宋体"/>
          <w:color w:val="000000"/>
          <w:kern w:val="0"/>
          <w:sz w:val="30"/>
          <w:szCs w:val="30"/>
        </w:rPr>
        <w:t>环境监测、计量认证规定和技术规范的监测设备取得；对于国内首次采用的污染防治技术，应当提供工程试验数据予以证明。</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第二十二条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对具备下列条件的排污单位，颁发排污许可证：</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（一）依法取得生态环境影响报告书（表）批准文件，或者已经办理生态环境影响登记表备案手续；</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污染物排放符合污染物排放标准等要求，重点污染物排放符合排污许可证申请与核发技术规范、生态环境影响报告书（表）批准文件以及重点污染物排放总量控制指标要求；其中，排污单位生产经营场所位于未达到国家生态环境质量标准区域、流域、海域的，还应当符合有关地方人民政府关于改善生态环境质量的特别要求；</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（三）采用污染防治设施可以达到许可排放浓度等要求或者符合污染防治可行技术；</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hint="eastAsia" w:ascii="仿宋_GB2312" w:hAnsi="仿宋" w:eastAsia="仿宋_GB2312" w:cs="宋体"/>
          <w:color w:val="000000"/>
          <w:kern w:val="0"/>
          <w:sz w:val="30"/>
          <w:szCs w:val="30"/>
          <w:lang w:eastAsia="zh-CN"/>
        </w:rPr>
      </w:pPr>
      <w:r>
        <w:rPr>
          <w:rFonts w:ascii="仿宋_GB2312" w:hAnsi="仿宋" w:eastAsia="仿宋_GB2312" w:cs="宋体"/>
          <w:color w:val="000000"/>
          <w:kern w:val="0"/>
          <w:sz w:val="30"/>
          <w:szCs w:val="30"/>
        </w:rPr>
        <w:t>（四）自行监测方案的监测点位、指标、频次等符合国家自行监测规范</w:t>
      </w:r>
      <w:r>
        <w:rPr>
          <w:rFonts w:hint="eastAsia" w:ascii="仿宋_GB2312" w:hAnsi="仿宋" w:eastAsia="仿宋_GB2312" w:cs="宋体"/>
          <w:color w:val="000000"/>
          <w:kern w:val="0"/>
          <w:sz w:val="30"/>
          <w:szCs w:val="30"/>
          <w:lang w:eastAsia="zh-CN"/>
        </w:rPr>
        <w:t>；</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（五）法律、行政法规规定的其他条件。</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第二十三条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审批部门应当在法定审批期限内作出审批决定，对符合条件的颁发排污许可证；对不符合条件的应当出具不予许可决定书，书面告知排污单位不予许可的理由，以及依法申请行政复议或者提起行政诉讼的权利。</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依法需要听证、检验、检测、专家评审的，所需时间不计算在审批期限内，审批部门应当将所需时间书面告知排污单位。</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第二十四条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排污单位依照《条例》第十四条第二款规定提出延续排污许可证时，应当按照规定提交延续申请表。审批部门作出延续排污许可证决定的，延续后的排污许可证有效期自原排污许可证有效期届满的次日起计算。</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排污单位未依照《条例》第十四条第二款规定提前六十日提交延续申请表，审批部门依法在原排污许可证有效期届满之后作出延续排污许可证决定的，延续后的排污许可证有效期自作出延续决定之日起计算；审批部门依法在原排污许可证有效期届满之前作出延续排污许可证决定的，延续后的排污许可证有效期自原排污许可证有效期届满的次日起计算。</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第二十五条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对符合法律、行政法规规定的应当重新申请排污许可证情形的，排污单位应当在实际排污行为变化之前重新申请取得排污许可证。排污单位应当提交排污许可证申请表、由排污单位法定代表人或者主要负责人签字或者盖章的承诺书以及与重新申请排污许可证有关的其他材料，并说明重新申请原因。</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 w:hAnsi="仿宋" w:eastAsia="仿宋" w:cs="宋体"/>
          <w:color w:val="000000"/>
          <w:kern w:val="0"/>
          <w:sz w:val="30"/>
          <w:szCs w:val="30"/>
        </w:rPr>
      </w:pPr>
      <w:r>
        <w:rPr>
          <w:rFonts w:ascii="仿宋_GB2312" w:hAnsi="仿宋" w:eastAsia="仿宋_GB2312" w:cs="宋体"/>
          <w:color w:val="000000"/>
          <w:kern w:val="0"/>
          <w:sz w:val="30"/>
          <w:szCs w:val="30"/>
        </w:rPr>
        <w:t>重新申请的排污许可证有效期自审批部门作出重新申请审批决定之日起计算。</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第二十六条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名称、住所、法定代表人或者主要负责人等排污许可证正本中记载的基本信息发生变更的，排污单位应当自变更之日起三十日内，向审批部门提交变更排污许可证申请表以及与变更排污许可证有关的其他材料。</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审批部门应当自受理之日起十个工作日内作出变更决定，按规定换发排污许可证正本，相关变更内容载入排污许可证副本中的变更、延续记录。</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排污许可证记载信息的变更，不影响排污许可证的有效期。</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第二十七条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排污单位适用的污染物排放标准、重点污染物排放总量控制要求发生变化，需要对排污许可证进行变更的，审批部门应当在标准生效之前和总量控制指标变化后依法对排污许可证相应事项进行变更。</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第二十八条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除本办法第二十五条、第二十六条、第二十七条规定情形外，排污许可证记载内容发生变化的，排污单位可以主动向审批部门提出调整排污许可证内容的申请，审批部门应当及时对排污许可证记载内容进行调整。</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第二十九条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有下列情形之一的，审批部门应当依法办理排污许可证的注销手续，并在全国排污许可证管理信息平台上公告：</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（一）排污许可证有效期届满未延续的；</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（二）排污单位依法终止的；</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（三）排污许可证依法被撤销、吊销的；</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 w:hAnsi="仿宋" w:eastAsia="仿宋" w:cs="宋体"/>
          <w:color w:val="000000"/>
          <w:kern w:val="0"/>
          <w:sz w:val="30"/>
          <w:szCs w:val="30"/>
        </w:rPr>
      </w:pPr>
      <w:r>
        <w:rPr>
          <w:rFonts w:ascii="仿宋_GB2312" w:hAnsi="仿宋" w:eastAsia="仿宋_GB2312" w:cs="宋体"/>
          <w:color w:val="000000"/>
          <w:kern w:val="0"/>
          <w:sz w:val="30"/>
          <w:szCs w:val="30"/>
        </w:rPr>
        <w:t>（四）应当注销的其他情形。</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有下列情形之一的，可以依法撤销排污许可证，并在全国排污许可证管理信息平台上公告：</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（一）超越法定职权审批排污许可证的；</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（二）违反法定程序审批排污许可证的；</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（三）审批部门工作人员滥用职权、玩忽职守审批排污许可证的；</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（四）对不具备申请资格或者不符合法定条件的排污单位审批排污许可证的；</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（五）依法可以撤销排污许可证的其他情形。</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排污单位以欺骗、贿赂等不正当手段取得排污许可证的，应当依法予以撤销。</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第三十一条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上级生态环境主管部门可以对具有审批权限的下级生态环境主管部门的排污许可证审批和执行情况进行监督检查和指导，发现属于《条例》第三十二条规定违法情形的，上级生态环境主管部门应当责令改正。</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第三十二条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排污许可证发生遗失、损毁的，排污单位可以向审批部门申请补领。已经办理排污许可证电子证照的排污单位可以根据需要自行打印排污许可证。</w:t>
      </w:r>
    </w:p>
    <w:p>
      <w:pPr>
        <w:keepNext w:val="0"/>
        <w:keepLines w:val="0"/>
        <w:pageBreakBefore w:val="0"/>
        <w:widowControl w:val="0"/>
        <w:kinsoku/>
        <w:wordWrap/>
        <w:overflowPunct/>
        <w:topLinePunct w:val="0"/>
        <w:autoSpaceDE/>
        <w:autoSpaceDN/>
        <w:bidi w:val="0"/>
        <w:adjustRightInd w:val="0"/>
        <w:snapToGrid w:val="0"/>
        <w:spacing w:before="312" w:beforeLines="100" w:after="468" w:afterLines="150"/>
        <w:jc w:val="center"/>
        <w:textAlignment w:val="auto"/>
        <w:outlineLvl w:val="0"/>
        <w:rPr>
          <w:rFonts w:ascii="Times New Roman" w:hAnsi="黑体" w:eastAsia="黑体"/>
          <w:sz w:val="30"/>
          <w:szCs w:val="30"/>
        </w:rPr>
      </w:pPr>
      <w:r>
        <w:rPr>
          <w:rFonts w:ascii="Times New Roman" w:hAnsi="黑体" w:eastAsia="黑体"/>
          <w:sz w:val="30"/>
          <w:szCs w:val="30"/>
        </w:rPr>
        <w:t>第四章</w:t>
      </w:r>
      <w:r>
        <w:rPr>
          <w:rFonts w:hint="eastAsia" w:ascii="Times New Roman" w:hAnsi="黑体" w:eastAsia="黑体"/>
          <w:sz w:val="30"/>
          <w:szCs w:val="30"/>
        </w:rPr>
        <w:t xml:space="preserve">  </w:t>
      </w:r>
      <w:r>
        <w:rPr>
          <w:rFonts w:ascii="Times New Roman" w:hAnsi="黑体" w:eastAsia="黑体"/>
          <w:sz w:val="30"/>
          <w:szCs w:val="30"/>
        </w:rPr>
        <w:t>排污管理</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 w:hAnsi="仿宋" w:eastAsia="仿宋" w:cs="宋体"/>
          <w:color w:val="000000"/>
          <w:kern w:val="0"/>
          <w:sz w:val="30"/>
          <w:szCs w:val="30"/>
        </w:rPr>
      </w:pPr>
      <w:r>
        <w:rPr>
          <w:rFonts w:ascii="黑体" w:hAnsi="黑体" w:eastAsia="黑体" w:cs="宋体"/>
          <w:color w:val="000000"/>
          <w:kern w:val="0"/>
          <w:sz w:val="30"/>
          <w:szCs w:val="30"/>
        </w:rPr>
        <w:t>第三十三条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排污单位应当遵守排污许可证的要求，按照规定运行和维护污染防治设施，建立生态环境管理制度，严格控制污染物排放。</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第三十四条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排污单位应当按照排污许可证规定和有关标准规范，依法开展自行监测，保存原始监测记录。原始监测记录保存期限不得少于五年。</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排污单位对自行监测数据的真实性、准确性负责，不得篡改、伪造。</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第三十五条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实行排污许可重点管理的排污单位，应当按照国家规定安装、使用、维护污染物排放自动监测设备，开展监控、自动监测，并与生态环境主管部门的监控设备联网，保证自动监测设备正常运行，保存原始监测记录。</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实行排污许可重点管理的排污单位发现污染物排放自动监测设备传输数据异常的，应当及时报告生态环境主管部门，并进行检查、修复。生态环境主管部门发现实行排污许可重点管理的排污单位的污染物排放自动监测设备传输数据异常，应当及时进行调查。</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第三十六条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排污单位应当按照排污许可证规定的格式、内容和频次要求记录环境管理台账，主要包括以下内容：</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（一）与污染物排放相关的主要生产设施运行情况；发生异常情况的，应当记录原因和采取的措施。</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（二）污染防治设施运行情况及管理信息；发生异常情况的，应当记录原因和采取的措施。</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（三）污染物实际排放浓度和排放量；发生超标排放情况的，应当记录超标原因和采取的措施。</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（四）其他按照相关技术规范应当记录的信息。</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 w:hAnsi="仿宋" w:eastAsia="仿宋" w:cs="宋体"/>
          <w:color w:val="000000"/>
          <w:kern w:val="0"/>
          <w:sz w:val="30"/>
          <w:szCs w:val="30"/>
        </w:rPr>
      </w:pPr>
      <w:r>
        <w:rPr>
          <w:rFonts w:ascii="仿宋_GB2312" w:hAnsi="仿宋" w:eastAsia="仿宋_GB2312" w:cs="宋体"/>
          <w:color w:val="000000"/>
          <w:kern w:val="0"/>
          <w:sz w:val="30"/>
          <w:szCs w:val="30"/>
        </w:rPr>
        <w:t>环境管理台账记录保存期限不得少于五年。</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第三十七条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排污单位应当按照排污许可证规定的执行报告内容、频次和时间要求，在全国排污许可证管理信息平台上填报、提交排污许可证执行报告。</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排污许可证执行报告包括年度执行报告、季度执行报告和月执行报告。</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季度执行报告和月执行报告应当包括以下内容：</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（一）根据自行监测结果说明污染物实际排放浓度和排放量及达标判定分析；</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（二）排污单位超标排放或者污染防治设施异常情况的说明。</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年度执行报告可以替代当季度或者当月的执行报告，并增加以下内容：</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（一）排污单位基本生产信息；</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（二）污染防治设施运行情况；</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（三）自行监测执行情况；</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（四）环境管理台账记录执行情况；</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（五）信息公开情况；</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（六）排污单位内部环境管理体系建设与运行情况；</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（七）其他排污许可证规定的内容执行情况。</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建设项目竣工环境保护设施验收报告中污染源监测数据等与污染物排放相关的主要内容，应当由排污单位记载在该项目竣工环境保护设施验收完成当年的排污许可证年度执行报告中。排污许可证执行情况应当作为生态环境影响后评价的重要依据。</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排污单位发生污染事故排放时，应当依照相关法律法规规章的规定及时报告。</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第三十八条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排污单位应当按照排污许可证规定，如实在全国排污许可证管理信息平台上公开污染物排放信息。</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污染物排放信息应当包括污染物排放种类、排放浓度和排放量，以及污染防治设施的建设运行情况、排污许可证执行报告、自行监测数据等；水污染物排入市政排水管网的，还应当包括污水接入市政排水管网位置、排放方式等信息。</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第三十九条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登记单位应当在实际排污行为发生之前，通过全国排污许可证管理信息平台填报排污登记表，提交后即时生成登记编号和回执，由排污登记单位自行留存。排污登记单位应当对填报信息的真实性、准确性、完整性负责。</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排污登记表自获得登记编号之日起生效，有效期为五年。排污登记单位应当在有效期届满前重新办理登记。</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排污登记信息发生变动的，排污登记单位应当自发生变动之日起二十日内进行变更登记。</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排污登记单位因关闭等原因不再排污的，应当及时在全国排污许可证管理信息平台注销排污登记表。</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 w:hAnsi="仿宋" w:eastAsia="仿宋" w:cs="宋体"/>
          <w:color w:val="000000"/>
          <w:kern w:val="0"/>
          <w:sz w:val="30"/>
          <w:szCs w:val="30"/>
        </w:rPr>
      </w:pPr>
      <w:r>
        <w:rPr>
          <w:rFonts w:ascii="仿宋_GB2312" w:hAnsi="仿宋" w:eastAsia="仿宋_GB2312" w:cs="宋体"/>
          <w:color w:val="000000"/>
          <w:kern w:val="0"/>
          <w:sz w:val="30"/>
          <w:szCs w:val="30"/>
        </w:rPr>
        <w:t>排污登记单位因生产和排污情况发生变化等原因，依法需要申领排污许可证的，应当依照相关法律法规和本办法的规定及时申请取得排污许可证并注销排污登记表。</w:t>
      </w:r>
    </w:p>
    <w:p>
      <w:pPr>
        <w:rPr>
          <w:rFonts w:ascii="Times New Roman" w:hAnsi="黑体" w:eastAsia="黑体"/>
          <w:sz w:val="30"/>
          <w:szCs w:val="30"/>
        </w:rPr>
      </w:pPr>
      <w:r>
        <w:rPr>
          <w:rFonts w:ascii="Times New Roman" w:hAnsi="黑体" w:eastAsia="黑体"/>
          <w:sz w:val="30"/>
          <w:szCs w:val="30"/>
        </w:rPr>
        <w:br w:type="page"/>
      </w:r>
    </w:p>
    <w:p>
      <w:pPr>
        <w:keepNext w:val="0"/>
        <w:keepLines w:val="0"/>
        <w:pageBreakBefore w:val="0"/>
        <w:widowControl w:val="0"/>
        <w:kinsoku/>
        <w:wordWrap/>
        <w:overflowPunct/>
        <w:topLinePunct w:val="0"/>
        <w:autoSpaceDE/>
        <w:autoSpaceDN/>
        <w:bidi w:val="0"/>
        <w:adjustRightInd w:val="0"/>
        <w:snapToGrid w:val="0"/>
        <w:spacing w:before="312" w:beforeLines="100" w:after="468" w:afterLines="150"/>
        <w:jc w:val="center"/>
        <w:textAlignment w:val="auto"/>
        <w:outlineLvl w:val="0"/>
        <w:rPr>
          <w:rFonts w:ascii="Times New Roman" w:hAnsi="黑体" w:eastAsia="黑体"/>
          <w:sz w:val="30"/>
          <w:szCs w:val="30"/>
        </w:rPr>
      </w:pPr>
      <w:r>
        <w:rPr>
          <w:rFonts w:ascii="Times New Roman" w:hAnsi="黑体" w:eastAsia="黑体"/>
          <w:sz w:val="30"/>
          <w:szCs w:val="30"/>
        </w:rPr>
        <w:t>第五章</w:t>
      </w:r>
      <w:r>
        <w:rPr>
          <w:rFonts w:hint="eastAsia" w:ascii="Times New Roman" w:hAnsi="黑体" w:eastAsia="黑体"/>
          <w:sz w:val="30"/>
          <w:szCs w:val="30"/>
        </w:rPr>
        <w:t xml:space="preserve">  </w:t>
      </w:r>
      <w:r>
        <w:rPr>
          <w:rFonts w:ascii="Times New Roman" w:hAnsi="黑体" w:eastAsia="黑体"/>
          <w:sz w:val="30"/>
          <w:szCs w:val="30"/>
        </w:rPr>
        <w:t>监督检查</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生态环境主管部门应当将排污许可证和排污登记信息纳入执法监管数据库，将排污许可执法检查纳入生态环境执法年度计划，加强对排污许可证记载事项的清单式执法检查。</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对未取得排污许可证排放污染物、不按照排污许可证要求排放污染物、未按规定填报排污登记表等违反排污许可管理的行为，依照相关法律法规和《条例》有关规</w:t>
      </w:r>
      <w:bookmarkStart w:id="3" w:name="_GoBack"/>
      <w:bookmarkEnd w:id="3"/>
      <w:r>
        <w:rPr>
          <w:rFonts w:ascii="仿宋_GB2312" w:hAnsi="仿宋" w:eastAsia="仿宋_GB2312" w:cs="宋体"/>
          <w:color w:val="000000"/>
          <w:kern w:val="0"/>
          <w:sz w:val="30"/>
          <w:szCs w:val="30"/>
        </w:rPr>
        <w:t>定进行处理。</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第四十一条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应当定期组织开展排污许可证执行报告落实情况的检查，重点检查排污单位提交执行报告的及时性、报告内容的完整性、排污行为的合规性、污染物排放量数据的准确性以及各项管理要求的落实情况等内容。</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排污许可证执行报告检查依托全国排污许可证管理信息平台开展。生态环境主管部门可以要求排污单位补充提供环境管理台账记录、自行监测数据等相关材料，必要时可以组织开展现场核查。</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第四十二条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生态环境主管部门应当加强排污许可证质量管理，建立质量审核机制，定期开展排污许可证质量核查。</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第四十三条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排污单位应当树立持证排污、按证排污意识，及时公开排污信息，自觉接受公众监督。</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仿宋_GB2312" w:hAnsi="仿宋" w:eastAsia="仿宋_GB2312" w:cs="宋体"/>
          <w:color w:val="000000"/>
          <w:kern w:val="0"/>
          <w:sz w:val="30"/>
          <w:szCs w:val="30"/>
        </w:rPr>
        <w:t>鼓励社会公众依法参与监督排污单位和排污登记单位排污行为。任何单位和个人对违反本办法规定的行为，均有权向生态环境主管部门举报。接到举报的生态环境主管部门应当依法处理，按照有关规定向举报人反馈处理结果，并为举报人保密。</w:t>
      </w:r>
    </w:p>
    <w:p>
      <w:pPr>
        <w:keepNext w:val="0"/>
        <w:keepLines w:val="0"/>
        <w:pageBreakBefore w:val="0"/>
        <w:widowControl w:val="0"/>
        <w:kinsoku/>
        <w:wordWrap/>
        <w:overflowPunct/>
        <w:topLinePunct w:val="0"/>
        <w:autoSpaceDE/>
        <w:autoSpaceDN/>
        <w:bidi w:val="0"/>
        <w:adjustRightInd w:val="0"/>
        <w:snapToGrid w:val="0"/>
        <w:spacing w:before="312" w:beforeLines="100" w:after="468" w:afterLines="150"/>
        <w:jc w:val="center"/>
        <w:textAlignment w:val="auto"/>
        <w:outlineLvl w:val="0"/>
        <w:rPr>
          <w:rFonts w:ascii="Times New Roman" w:hAnsi="黑体" w:eastAsia="黑体"/>
          <w:sz w:val="30"/>
          <w:szCs w:val="30"/>
        </w:rPr>
      </w:pPr>
      <w:r>
        <w:rPr>
          <w:rFonts w:ascii="Times New Roman" w:hAnsi="黑体" w:eastAsia="黑体"/>
          <w:sz w:val="30"/>
          <w:szCs w:val="30"/>
        </w:rPr>
        <w:t>第六章</w:t>
      </w:r>
      <w:r>
        <w:rPr>
          <w:rFonts w:hint="eastAsia" w:ascii="Times New Roman" w:hAnsi="黑体" w:eastAsia="黑体"/>
          <w:sz w:val="30"/>
          <w:szCs w:val="30"/>
        </w:rPr>
        <w:t xml:space="preserve">  </w:t>
      </w:r>
      <w:r>
        <w:rPr>
          <w:rFonts w:ascii="Times New Roman" w:hAnsi="黑体" w:eastAsia="黑体"/>
          <w:sz w:val="30"/>
          <w:szCs w:val="30"/>
        </w:rPr>
        <w:t>附</w:t>
      </w:r>
      <w:r>
        <w:rPr>
          <w:rFonts w:hint="eastAsia" w:ascii="Times New Roman" w:hAnsi="黑体" w:eastAsia="黑体"/>
          <w:sz w:val="30"/>
          <w:szCs w:val="30"/>
        </w:rPr>
        <w:t xml:space="preserve">  </w:t>
      </w:r>
      <w:r>
        <w:rPr>
          <w:rFonts w:ascii="Times New Roman" w:hAnsi="黑体" w:eastAsia="黑体"/>
          <w:sz w:val="30"/>
          <w:szCs w:val="30"/>
        </w:rPr>
        <w:t>则</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第四十四条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排污许可证正本、副本、承诺书样本和申请、延续、变更排污许可证申请表格式，由国务院生态环境主管部门制定。</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第四十五条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排污单位涉及国家秘密的，其排污许可、排污登记及相关的监督管理等应当遵守国家有关保密法律法规的规定。</w:t>
      </w:r>
    </w:p>
    <w:p>
      <w:pPr>
        <w:keepNext w:val="0"/>
        <w:keepLines w:val="0"/>
        <w:pageBreakBefore w:val="0"/>
        <w:widowControl/>
        <w:shd w:val="clear" w:color="auto" w:fill="FFFFFF"/>
        <w:suppressAutoHyphens w:val="0"/>
        <w:kinsoku/>
        <w:wordWrap/>
        <w:overflowPunct/>
        <w:topLinePunct w:val="0"/>
        <w:autoSpaceDE/>
        <w:autoSpaceDN/>
        <w:bidi w:val="0"/>
        <w:snapToGrid w:val="0"/>
        <w:spacing w:line="360" w:lineRule="auto"/>
        <w:ind w:firstLine="600" w:firstLineChars="200"/>
        <w:textAlignment w:val="auto"/>
        <w:rPr>
          <w:rFonts w:ascii="仿宋_GB2312" w:hAnsi="仿宋" w:eastAsia="仿宋_GB2312" w:cs="宋体"/>
          <w:color w:val="000000"/>
          <w:kern w:val="0"/>
          <w:sz w:val="30"/>
          <w:szCs w:val="30"/>
        </w:rPr>
      </w:pPr>
      <w:r>
        <w:rPr>
          <w:rFonts w:ascii="黑体" w:hAnsi="黑体" w:eastAsia="黑体" w:cs="宋体"/>
          <w:color w:val="000000"/>
          <w:kern w:val="0"/>
          <w:sz w:val="30"/>
          <w:szCs w:val="30"/>
        </w:rPr>
        <w:t>第四十六条</w:t>
      </w:r>
      <w:r>
        <w:rPr>
          <w:rFonts w:hint="eastAsia" w:eastAsia="仿宋" w:cs="Calibri"/>
          <w:color w:val="000000"/>
          <w:kern w:val="0"/>
          <w:sz w:val="30"/>
          <w:szCs w:val="30"/>
        </w:rPr>
        <w:t xml:space="preserve">  </w:t>
      </w:r>
      <w:r>
        <w:rPr>
          <w:rFonts w:ascii="仿宋_GB2312" w:hAnsi="仿宋" w:eastAsia="仿宋_GB2312" w:cs="宋体"/>
          <w:color w:val="000000"/>
          <w:kern w:val="0"/>
          <w:sz w:val="30"/>
          <w:szCs w:val="30"/>
        </w:rPr>
        <w:t>本办法自2024年7月1日起施行。原环境保护部发布的《排污许可管理办法（试行）》（环境保护部令第48号）同时废止。</w:t>
      </w:r>
    </w:p>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- 6 -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- 6 -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生态环境部发布     </w:t>
    </w:r>
  </w:p>
  <w:p>
    <w:pPr>
      <w:pStyle w:val="7"/>
      <w:wordWrap w:val="0"/>
      <w:ind w:left="4788" w:leftChars="2280" w:firstLine="5622" w:firstLineChars="2000"/>
      <w:jc w:val="right"/>
      <w:rPr>
        <w:rFonts w:hint="eastAsia"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7"/>
      <w:textAlignment w:val="center"/>
      <w:rPr>
        <w:rFonts w:hint="eastAsia"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生态环境部</w:t>
    </w:r>
    <w:r>
      <w:rPr>
        <w:rFonts w:hint="eastAsia" w:ascii="宋体" w:hAnsi="宋体" w:eastAsia="宋体" w:cs="宋体"/>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MyZGM1NjBhNjQwYWNlOTlkZWNjNjkxMDAxMDc1Y2EifQ=="/>
  </w:docVars>
  <w:rsids>
    <w:rsidRoot w:val="00172A27"/>
    <w:rsid w:val="000622CA"/>
    <w:rsid w:val="000A64B2"/>
    <w:rsid w:val="00112583"/>
    <w:rsid w:val="001604CF"/>
    <w:rsid w:val="00172A27"/>
    <w:rsid w:val="00353375"/>
    <w:rsid w:val="00365AB7"/>
    <w:rsid w:val="0036706A"/>
    <w:rsid w:val="003964C0"/>
    <w:rsid w:val="0039798A"/>
    <w:rsid w:val="003C5C26"/>
    <w:rsid w:val="003F2306"/>
    <w:rsid w:val="00410DA3"/>
    <w:rsid w:val="004703B7"/>
    <w:rsid w:val="00550F50"/>
    <w:rsid w:val="006F6644"/>
    <w:rsid w:val="007C63F6"/>
    <w:rsid w:val="00815BDF"/>
    <w:rsid w:val="008E3A00"/>
    <w:rsid w:val="008E3C6A"/>
    <w:rsid w:val="00A85451"/>
    <w:rsid w:val="00B05A9B"/>
    <w:rsid w:val="00B77335"/>
    <w:rsid w:val="00C6351B"/>
    <w:rsid w:val="00D640BE"/>
    <w:rsid w:val="00E31355"/>
    <w:rsid w:val="00EF006C"/>
    <w:rsid w:val="00F3130C"/>
    <w:rsid w:val="00FB31E2"/>
    <w:rsid w:val="019E71BD"/>
    <w:rsid w:val="045467F6"/>
    <w:rsid w:val="04B679C3"/>
    <w:rsid w:val="080F63D8"/>
    <w:rsid w:val="09341458"/>
    <w:rsid w:val="0B0912D7"/>
    <w:rsid w:val="1138036B"/>
    <w:rsid w:val="13032A01"/>
    <w:rsid w:val="152D2DCA"/>
    <w:rsid w:val="19EF4A15"/>
    <w:rsid w:val="1DEC284C"/>
    <w:rsid w:val="1E6523AC"/>
    <w:rsid w:val="1EF736D9"/>
    <w:rsid w:val="22440422"/>
    <w:rsid w:val="31A15F24"/>
    <w:rsid w:val="32A67F5A"/>
    <w:rsid w:val="34D75A17"/>
    <w:rsid w:val="395347B5"/>
    <w:rsid w:val="39A232A0"/>
    <w:rsid w:val="39E745AA"/>
    <w:rsid w:val="3B5A6BBB"/>
    <w:rsid w:val="3EDA13A6"/>
    <w:rsid w:val="41D15DD9"/>
    <w:rsid w:val="42F058B7"/>
    <w:rsid w:val="436109F6"/>
    <w:rsid w:val="441A38D4"/>
    <w:rsid w:val="463311B9"/>
    <w:rsid w:val="4BC77339"/>
    <w:rsid w:val="4C9236C5"/>
    <w:rsid w:val="4F674799"/>
    <w:rsid w:val="505C172E"/>
    <w:rsid w:val="52F46F0B"/>
    <w:rsid w:val="53D8014D"/>
    <w:rsid w:val="55E064E0"/>
    <w:rsid w:val="572C6D10"/>
    <w:rsid w:val="585801BE"/>
    <w:rsid w:val="5C2E5CBE"/>
    <w:rsid w:val="5DC34279"/>
    <w:rsid w:val="608816D1"/>
    <w:rsid w:val="60EF4E7F"/>
    <w:rsid w:val="665233C1"/>
    <w:rsid w:val="6AD9688B"/>
    <w:rsid w:val="6D0E3F22"/>
    <w:rsid w:val="73DC31C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5"/>
    <w:qFormat/>
    <w:uiPriority w:val="0"/>
    <w:pPr>
      <w:keepNext/>
      <w:keepLines/>
      <w:suppressAutoHyphens/>
      <w:spacing w:before="340" w:after="330" w:line="578" w:lineRule="auto"/>
      <w:outlineLvl w:val="0"/>
    </w:pPr>
    <w:rPr>
      <w:rFonts w:ascii="Calibri" w:hAnsi="Calibri" w:eastAsia="宋体" w:cs="Times New Roman"/>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8"/>
    <w:qFormat/>
    <w:uiPriority w:val="0"/>
    <w:pPr>
      <w:spacing w:after="120"/>
    </w:pPr>
    <w:rPr>
      <w:rFonts w:ascii="等线" w:hAnsi="等线" w:eastAsia="等线" w:cs="Times New Roman"/>
      <w:szCs w:val="22"/>
    </w:rPr>
  </w:style>
  <w:style w:type="paragraph" w:styleId="4">
    <w:name w:val="annotation text"/>
    <w:basedOn w:val="1"/>
    <w:qFormat/>
    <w:uiPriority w:val="0"/>
    <w:pPr>
      <w:jc w:val="left"/>
    </w:pPr>
  </w:style>
  <w:style w:type="paragraph" w:styleId="5">
    <w:name w:val="Balloon Text"/>
    <w:basedOn w:val="1"/>
    <w:link w:val="1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Strong"/>
    <w:basedOn w:val="9"/>
    <w:qFormat/>
    <w:uiPriority w:val="0"/>
    <w:rPr>
      <w:b/>
    </w:rPr>
  </w:style>
  <w:style w:type="character" w:styleId="11">
    <w:name w:val="page number"/>
    <w:basedOn w:val="9"/>
    <w:qFormat/>
    <w:uiPriority w:val="0"/>
  </w:style>
  <w:style w:type="character" w:styleId="12">
    <w:name w:val="Hyperlink"/>
    <w:basedOn w:val="9"/>
    <w:qFormat/>
    <w:uiPriority w:val="0"/>
    <w:rPr>
      <w:color w:val="0000FF"/>
      <w:u w:val="single"/>
    </w:rPr>
  </w:style>
  <w:style w:type="paragraph" w:customStyle="1" w:styleId="13">
    <w:name w:val="列出段落1"/>
    <w:basedOn w:val="1"/>
    <w:qFormat/>
    <w:uiPriority w:val="0"/>
    <w:pPr>
      <w:ind w:firstLine="420" w:firstLineChars="200"/>
    </w:pPr>
  </w:style>
  <w:style w:type="paragraph" w:customStyle="1" w:styleId="14">
    <w:name w:val="msolistparagraph"/>
    <w:basedOn w:val="1"/>
    <w:qFormat/>
    <w:uiPriority w:val="0"/>
    <w:pPr>
      <w:suppressAutoHyphens/>
      <w:ind w:firstLine="420" w:firstLineChars="200"/>
    </w:pPr>
    <w:rPr>
      <w:rFonts w:ascii="Times New Roman" w:hAnsi="Times New Roman" w:eastAsia="宋体" w:cs="Times New Roman"/>
      <w:szCs w:val="21"/>
    </w:rPr>
  </w:style>
  <w:style w:type="character" w:customStyle="1" w:styleId="15">
    <w:name w:val="标题 1 字符"/>
    <w:basedOn w:val="9"/>
    <w:link w:val="3"/>
    <w:qFormat/>
    <w:uiPriority w:val="0"/>
    <w:rPr>
      <w:rFonts w:ascii="Calibri" w:hAnsi="Calibri"/>
      <w:b/>
      <w:bCs/>
      <w:kern w:val="44"/>
      <w:sz w:val="44"/>
      <w:szCs w:val="44"/>
    </w:rPr>
  </w:style>
  <w:style w:type="character" w:customStyle="1" w:styleId="16">
    <w:name w:val="15"/>
    <w:qFormat/>
    <w:uiPriority w:val="0"/>
    <w:rPr>
      <w:rFonts w:hint="default" w:ascii="Times New Roman" w:hAnsi="Times New Roman" w:cs="Times New Roman"/>
      <w:i/>
    </w:rPr>
  </w:style>
  <w:style w:type="character" w:customStyle="1" w:styleId="17">
    <w:name w:val="批注框文本 字符"/>
    <w:basedOn w:val="9"/>
    <w:link w:val="5"/>
    <w:qFormat/>
    <w:uiPriority w:val="0"/>
    <w:rPr>
      <w:rFonts w:asciiTheme="minorHAnsi" w:hAnsiTheme="minorHAnsi" w:eastAsiaTheme="minorEastAsia" w:cstheme="minorBidi"/>
      <w:kern w:val="2"/>
      <w:sz w:val="18"/>
      <w:szCs w:val="18"/>
    </w:rPr>
  </w:style>
  <w:style w:type="character" w:customStyle="1" w:styleId="18">
    <w:name w:val="正文文本 字符"/>
    <w:basedOn w:val="9"/>
    <w:link w:val="2"/>
    <w:qFormat/>
    <w:uiPriority w:val="0"/>
    <w:rPr>
      <w:rFonts w:ascii="等线" w:hAnsi="等线" w:eastAsia="等线"/>
      <w:kern w:val="2"/>
      <w:sz w:val="21"/>
      <w:szCs w:val="22"/>
    </w:rPr>
  </w:style>
  <w:style w:type="paragraph" w:customStyle="1" w:styleId="19">
    <w:name w:val="p0"/>
    <w:basedOn w:val="1"/>
    <w:qFormat/>
    <w:uiPriority w:val="0"/>
    <w:pPr>
      <w:widowControl/>
    </w:pPr>
    <w:rPr>
      <w:rFonts w:ascii="等线" w:hAnsi="等线" w:eastAsia="仿宋_GB2312" w:cs="Times New Roman"/>
      <w:sz w:val="32"/>
      <w:szCs w:val="20"/>
    </w:rPr>
  </w:style>
  <w:style w:type="paragraph" w:customStyle="1" w:styleId="20">
    <w:name w:val="WPSOffice手动目录 1"/>
    <w:qFormat/>
    <w:uiPriority w:val="0"/>
    <w:rPr>
      <w:rFonts w:ascii="Times New Roman" w:hAnsi="Times New Roman" w:eastAsia="宋体" w:cs="Times New Roman"/>
      <w:lang w:val="en-US" w:eastAsia="zh-CN" w:bidi="ar-SA"/>
    </w:rPr>
  </w:style>
  <w:style w:type="paragraph" w:customStyle="1" w:styleId="21">
    <w:name w:val="无间隔1"/>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22">
    <w:name w:val="pp11"/>
    <w:qFormat/>
    <w:uiPriority w:val="0"/>
  </w:style>
  <w:style w:type="character" w:customStyle="1" w:styleId="23">
    <w:name w:val="正文文本 字符1"/>
    <w:qFormat/>
    <w:uiPriority w:val="0"/>
    <w:rPr>
      <w:rFonts w:ascii="等线" w:hAnsi="等线" w:eastAsia="等线"/>
      <w:kern w:val="2"/>
      <w:sz w:val="21"/>
      <w:szCs w:val="22"/>
      <w:lang w:val="en-US" w:eastAsia="zh-CN" w:bidi="ar-SA"/>
    </w:rPr>
  </w:style>
  <w:style w:type="paragraph" w:customStyle="1" w:styleId="24">
    <w:name w:val="Char"/>
    <w:basedOn w:val="1"/>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Pages>
  <Words>4727</Words>
  <Characters>4730</Characters>
  <Lines>36</Lines>
  <Paragraphs>10</Paragraphs>
  <TotalTime>2</TotalTime>
  <ScaleCrop>false</ScaleCrop>
  <LinksUpToDate>false</LinksUpToDate>
  <CharactersWithSpaces>4840</CharactersWithSpaces>
  <Application>WPS Office_11.8.2.12307_F1E327BC-269C-435d-A152-05C5408002CA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2024-11-01T14:33:00Z</dcterms:created>
  <dc:creator>t</dc:creator>
  <cp:lastModifiedBy>hanjiqi</cp:lastModifiedBy>
  <cp:lastPrinted>2024-11-01T14:38:00Z</cp:lastPrinted>
  <dcterms:modified xsi:type="dcterms:W3CDTF">2026-10-09T08:53:21Z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2052-11.8.2.12307</vt:lpwstr>
  </property>
  <property fmtid="{D5CDD505-2E9C-101B-9397-08002B2CF9AE}" pid="3" name="ICV">
    <vt:lpwstr>FE308B6D7860476D9917C9E843569987</vt:lpwstr>
  </property>
</Properties>
</file>