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uppressAutoHyphens w:val="0"/>
        <w:bidi w:val="0"/>
        <w:snapToGrid w:val="0"/>
        <w:spacing w:line="560" w:lineRule="exact"/>
        <w:jc w:val="center"/>
        <w:outlineLvl w:val="0"/>
        <w:rPr>
          <w:rStyle w:val="10"/>
          <w:rFonts w:ascii="方正小标宋_GBK" w:hAnsi="方正小标宋_GBK" w:eastAsia="方正小标宋_GBK" w:cs="方正小标宋_GBK"/>
          <w:b w:val="0"/>
          <w:bCs/>
          <w:sz w:val="44"/>
          <w:szCs w:val="44"/>
        </w:rPr>
      </w:pPr>
    </w:p>
    <w:p>
      <w:pPr>
        <w:pStyle w:val="2"/>
        <w:rPr>
          <w:sz w:val="32"/>
          <w:szCs w:val="32"/>
        </w:rPr>
      </w:pPr>
    </w:p>
    <w:p>
      <w:pPr>
        <w:widowControl/>
        <w:shd w:val="clear" w:color="auto" w:fill="FFFFFF"/>
        <w:suppressAutoHyphens w:val="0"/>
        <w:bidi w:val="0"/>
        <w:snapToGrid w:val="0"/>
        <w:spacing w:line="560" w:lineRule="exact"/>
        <w:jc w:val="center"/>
        <w:outlineLvl w:val="0"/>
        <w:rPr>
          <w:rFonts w:hint="eastAsia" w:ascii="方正小标宋简体" w:hAnsi="方正小标宋简体" w:eastAsia="方正小标宋简体" w:cs="方正小标宋简体"/>
          <w:b w:val="0"/>
          <w:bCs/>
          <w:color w:val="000000"/>
          <w:kern w:val="36"/>
          <w:sz w:val="44"/>
          <w:szCs w:val="44"/>
        </w:rPr>
      </w:pPr>
      <w:r>
        <w:rPr>
          <w:rStyle w:val="10"/>
          <w:rFonts w:hint="eastAsia" w:ascii="方正小标宋简体" w:hAnsi="方正小标宋简体" w:eastAsia="方正小标宋简体" w:cs="方正小标宋简体"/>
          <w:b w:val="0"/>
          <w:bCs/>
          <w:sz w:val="44"/>
          <w:szCs w:val="44"/>
        </w:rPr>
        <w:t>生态环境主管部门实施按日连续处罚办法</w:t>
      </w:r>
    </w:p>
    <w:p>
      <w:pPr>
        <w:keepNext w:val="0"/>
        <w:keepLines w:val="0"/>
        <w:pageBreakBefore w:val="0"/>
        <w:widowControl/>
        <w:shd w:val="clear" w:color="auto" w:fill="FFFFFF"/>
        <w:suppressAutoHyphens w:val="0"/>
        <w:kinsoku/>
        <w:wordWrap/>
        <w:overflowPunct/>
        <w:topLinePunct w:val="0"/>
        <w:autoSpaceDE/>
        <w:autoSpaceDN/>
        <w:bidi w:val="0"/>
        <w:adjustRightInd/>
        <w:snapToGrid w:val="0"/>
        <w:spacing w:line="560" w:lineRule="exact"/>
        <w:ind w:firstLine="600" w:firstLineChars="200"/>
        <w:jc w:val="left"/>
        <w:textAlignment w:val="auto"/>
        <w:outlineLvl w:val="2"/>
        <w:rPr>
          <w:rFonts w:ascii="楷体_GB2312" w:hAnsi="仿宋" w:eastAsia="楷体_GB2312" w:cs="宋体"/>
          <w:color w:val="000000"/>
          <w:kern w:val="0"/>
          <w:sz w:val="30"/>
          <w:szCs w:val="30"/>
        </w:rPr>
      </w:pPr>
      <w:r>
        <w:rPr>
          <w:rFonts w:ascii="楷体_GB2312" w:hAnsi="仿宋" w:eastAsia="楷体_GB2312" w:cs="宋体"/>
          <w:color w:val="000000"/>
          <w:kern w:val="0"/>
          <w:sz w:val="30"/>
          <w:szCs w:val="30"/>
        </w:rPr>
        <w:t xml:space="preserve">（2014年12月19日环境保护部令第28号公布 </w:t>
      </w:r>
      <w:r>
        <w:rPr>
          <w:rFonts w:hint="eastAsia" w:ascii="楷体_GB2312" w:hAnsi="仿宋" w:eastAsia="楷体_GB2312" w:cs="宋体"/>
          <w:color w:val="000000"/>
          <w:kern w:val="0"/>
          <w:sz w:val="30"/>
          <w:szCs w:val="30"/>
        </w:rPr>
        <w:t>根据2026年</w:t>
      </w:r>
      <w:r>
        <w:rPr>
          <w:rFonts w:hint="eastAsia" w:ascii="楷体_GB2312" w:hAnsi="仿宋" w:eastAsia="楷体_GB2312" w:cs="宋体"/>
          <w:color w:val="000000"/>
          <w:kern w:val="0"/>
          <w:sz w:val="30"/>
          <w:szCs w:val="30"/>
          <w:lang w:eastAsia="zh-CN"/>
        </w:rPr>
        <w:t>9月20日</w:t>
      </w:r>
      <w:r>
        <w:rPr>
          <w:rFonts w:hint="eastAsia" w:ascii="楷体_GB2312" w:hAnsi="仿宋" w:eastAsia="楷体_GB2312" w:cs="宋体"/>
          <w:color w:val="000000"/>
          <w:kern w:val="0"/>
          <w:sz w:val="30"/>
          <w:szCs w:val="30"/>
        </w:rPr>
        <w:t>《关于修改和废止部分规章的决定》修正</w:t>
      </w:r>
      <w:r>
        <w:rPr>
          <w:rFonts w:ascii="楷体_GB2312" w:hAnsi="仿宋" w:eastAsia="楷体_GB2312" w:cs="宋体"/>
          <w:color w:val="000000"/>
          <w:kern w:val="0"/>
          <w:sz w:val="30"/>
          <w:szCs w:val="30"/>
        </w:rPr>
        <w:t>）</w:t>
      </w:r>
    </w:p>
    <w:p>
      <w:pPr>
        <w:pStyle w:val="2"/>
      </w:pPr>
    </w:p>
    <w:p>
      <w:pPr>
        <w:keepNext w:val="0"/>
        <w:keepLines w:val="0"/>
        <w:pageBreakBefore w:val="0"/>
        <w:widowControl/>
        <w:numPr>
          <w:ilvl w:val="0"/>
          <w:numId w:val="1"/>
        </w:numPr>
        <w:suppressAutoHyphens w:val="0"/>
        <w:kinsoku/>
        <w:wordWrap/>
        <w:overflowPunct/>
        <w:topLinePunct w:val="0"/>
        <w:autoSpaceDE/>
        <w:autoSpaceDN/>
        <w:bidi w:val="0"/>
        <w:adjustRightInd/>
        <w:snapToGrid w:val="0"/>
        <w:spacing w:before="313" w:beforeLines="100" w:after="469" w:afterLines="150" w:line="240" w:lineRule="auto"/>
        <w:jc w:val="center"/>
        <w:textAlignment w:val="auto"/>
        <w:rPr>
          <w:rFonts w:ascii="黑体" w:hAnsi="黑体" w:eastAsia="黑体" w:cs="宋体"/>
          <w:color w:val="000000"/>
          <w:kern w:val="0"/>
          <w:sz w:val="30"/>
          <w:szCs w:val="30"/>
        </w:rPr>
      </w:pPr>
      <w:r>
        <w:rPr>
          <w:rFonts w:hint="eastAsia" w:eastAsia="黑体" w:cs="Calibri"/>
          <w:color w:val="000000"/>
          <w:kern w:val="0"/>
          <w:sz w:val="30"/>
          <w:szCs w:val="30"/>
        </w:rPr>
        <w:t xml:space="preserve"> </w:t>
      </w:r>
      <w:r>
        <w:rPr>
          <w:rFonts w:ascii="黑体" w:hAnsi="黑体" w:eastAsia="黑体" w:cs="宋体"/>
          <w:color w:val="000000"/>
          <w:kern w:val="0"/>
          <w:sz w:val="30"/>
          <w:szCs w:val="30"/>
        </w:rPr>
        <w:t>总</w:t>
      </w:r>
      <w:r>
        <w:rPr>
          <w:rFonts w:hint="eastAsia" w:eastAsia="黑体" w:cs="Calibri"/>
          <w:color w:val="000000"/>
          <w:kern w:val="0"/>
          <w:sz w:val="30"/>
          <w:szCs w:val="30"/>
        </w:rPr>
        <w:t xml:space="preserve"> </w:t>
      </w:r>
      <w:r>
        <w:rPr>
          <w:rFonts w:ascii="黑体" w:hAnsi="黑体" w:eastAsia="黑体" w:cs="宋体"/>
          <w:color w:val="000000"/>
          <w:kern w:val="0"/>
          <w:sz w:val="30"/>
          <w:szCs w:val="30"/>
        </w:rPr>
        <w:t xml:space="preserve"> 则</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为规范实施按日连续处罚，依据《中华人民共和国生态环境法典》《中华人民共和国行政处罚法》等法律，制定本办法。</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生态环境主管部门对企业事业单位和其他生产经营者（以下简称排污者）实施按日连续处罚的，适用本办法。</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实施按日连续处罚，应当坚持教育与处罚相结合的</w:t>
      </w:r>
      <w:bookmarkStart w:id="0" w:name="_GoBack"/>
      <w:bookmarkEnd w:id="0"/>
      <w:r>
        <w:rPr>
          <w:rFonts w:ascii="仿宋_GB2312" w:hAnsi="仿宋" w:eastAsia="仿宋_GB2312" w:cs="宋体"/>
          <w:color w:val="000000"/>
          <w:kern w:val="0"/>
          <w:sz w:val="30"/>
          <w:szCs w:val="30"/>
        </w:rPr>
        <w:t>原则，引导和督促排污者及时改正生态环境违法行为。</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生态环境主管部门实施按日连续处罚，应当依法向社会公开行政处罚决定和责令改正违法行为决定等相关信息。</w:t>
      </w:r>
    </w:p>
    <w:p>
      <w:pPr>
        <w:keepNext w:val="0"/>
        <w:keepLines w:val="0"/>
        <w:pageBreakBefore w:val="0"/>
        <w:widowControl/>
        <w:numPr>
          <w:numId w:val="0"/>
        </w:numPr>
        <w:suppressAutoHyphens w:val="0"/>
        <w:kinsoku/>
        <w:wordWrap/>
        <w:overflowPunct/>
        <w:topLinePunct w:val="0"/>
        <w:autoSpaceDE/>
        <w:autoSpaceDN/>
        <w:bidi w:val="0"/>
        <w:adjustRightInd/>
        <w:snapToGrid w:val="0"/>
        <w:spacing w:before="313" w:beforeLines="100" w:after="469" w:afterLines="150" w:line="240" w:lineRule="auto"/>
        <w:jc w:val="center"/>
        <w:textAlignment w:val="auto"/>
        <w:rPr>
          <w:rFonts w:hint="eastAsia" w:eastAsia="黑体" w:cs="Calibri"/>
          <w:color w:val="000000"/>
          <w:kern w:val="0"/>
          <w:sz w:val="30"/>
          <w:szCs w:val="30"/>
        </w:rPr>
      </w:pPr>
      <w:r>
        <w:rPr>
          <w:rFonts w:hint="eastAsia" w:eastAsia="黑体" w:cs="Calibri"/>
          <w:color w:val="000000"/>
          <w:kern w:val="0"/>
          <w:sz w:val="30"/>
          <w:szCs w:val="30"/>
        </w:rPr>
        <w:t>第二章  适用范围</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排污者违法排放、倾倒、处置污染物、废弃物或者其他物质（以下简称</w:t>
      </w:r>
      <w:r>
        <w:rPr>
          <w:rFonts w:hint="eastAsia" w:ascii="仿宋_GB2312" w:hAnsi="仿宋" w:eastAsia="仿宋_GB2312" w:cs="宋体"/>
          <w:color w:val="000000"/>
          <w:kern w:val="0"/>
          <w:sz w:val="30"/>
          <w:szCs w:val="30"/>
          <w:lang w:eastAsia="zh-CN"/>
        </w:rPr>
        <w:t>违法</w:t>
      </w:r>
      <w:r>
        <w:rPr>
          <w:rFonts w:ascii="仿宋_GB2312" w:hAnsi="仿宋" w:eastAsia="仿宋_GB2312" w:cs="宋体"/>
          <w:color w:val="000000"/>
          <w:kern w:val="0"/>
          <w:sz w:val="30"/>
          <w:szCs w:val="30"/>
        </w:rPr>
        <w:t>排放污染物），受到罚款处罚，被责令改正的，依法作出处罚决定的生态环境主管部门应当组织复查，发现其继续实施该违法行为、拒不改正或者拒绝、阻挠复查（以下简称拒不改正）的，可以自责令改正之日的次日起，按照原罚款数额按日连续处罚，并及时采取措施制止违法行为。</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地方性法规可以根据生态环境保护的实际需要，增加按日连续处罚的违法行为的种类。</w:t>
      </w:r>
    </w:p>
    <w:p>
      <w:pPr>
        <w:keepNext w:val="0"/>
        <w:keepLines w:val="0"/>
        <w:pageBreakBefore w:val="0"/>
        <w:widowControl/>
        <w:numPr>
          <w:ilvl w:val="0"/>
          <w:numId w:val="0"/>
        </w:numPr>
        <w:suppressAutoHyphens w:val="0"/>
        <w:kinsoku/>
        <w:wordWrap/>
        <w:overflowPunct/>
        <w:topLinePunct w:val="0"/>
        <w:autoSpaceDE/>
        <w:autoSpaceDN/>
        <w:bidi w:val="0"/>
        <w:adjustRightInd/>
        <w:snapToGrid w:val="0"/>
        <w:spacing w:before="313" w:beforeLines="100" w:after="469" w:afterLines="150" w:line="240" w:lineRule="auto"/>
        <w:jc w:val="center"/>
        <w:textAlignment w:val="auto"/>
        <w:rPr>
          <w:rFonts w:hint="eastAsia" w:eastAsia="黑体" w:cs="Calibri"/>
          <w:color w:val="000000"/>
          <w:kern w:val="0"/>
          <w:sz w:val="30"/>
          <w:szCs w:val="30"/>
        </w:rPr>
      </w:pPr>
      <w:r>
        <w:rPr>
          <w:rFonts w:hint="eastAsia" w:eastAsia="黑体" w:cs="Calibri"/>
          <w:color w:val="000000"/>
          <w:kern w:val="0"/>
          <w:sz w:val="30"/>
          <w:szCs w:val="30"/>
        </w:rPr>
        <w:t>第三章  实施程序</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生态环境主管部门检查发现排污者违法排放污染物的，应当进行调查取证，并依法作出行政处罚决定。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按日连续处罚决定应当在前款规定的行政处罚决定之后作出。</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生态环境主管部门可以当场认定违法排放污染物的，应当在现场调查时向排污者送达责令改正违法行为决定书，责令立即停止违法排放污染物行为。</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需要通过生态环境监测认定违法排放污染物的，生态环境监测机构应当按照监测技术规范要求进行监测。</w:t>
      </w:r>
      <w:r>
        <w:rPr>
          <w:rFonts w:hint="eastAsia" w:ascii="仿宋_GB2312" w:hAnsi="仿宋" w:eastAsia="仿宋_GB2312" w:cs="宋体"/>
          <w:color w:val="000000"/>
          <w:kern w:val="0"/>
          <w:sz w:val="30"/>
          <w:szCs w:val="30"/>
        </w:rPr>
        <w:t>生态环境主管部门</w:t>
      </w:r>
      <w:r>
        <w:rPr>
          <w:rFonts w:ascii="仿宋_GB2312" w:hAnsi="仿宋" w:eastAsia="仿宋_GB2312" w:cs="宋体"/>
          <w:color w:val="000000"/>
          <w:kern w:val="0"/>
          <w:sz w:val="30"/>
          <w:szCs w:val="30"/>
        </w:rPr>
        <w:t>应当在取得监测报告后三个工作日内向排污者送达责令改正违法行为决定书，责令立即停止违法排放污染物行为。</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w:t>
      </w:r>
      <w:r>
        <w:rPr>
          <w:rFonts w:hint="eastAsia" w:ascii="黑体" w:hAnsi="黑体" w:eastAsia="黑体" w:cs="宋体"/>
          <w:color w:val="000000"/>
          <w:kern w:val="0"/>
          <w:sz w:val="30"/>
          <w:szCs w:val="30"/>
        </w:rPr>
        <w:t>九</w:t>
      </w:r>
      <w:r>
        <w:rPr>
          <w:rFonts w:ascii="黑体" w:hAnsi="黑体" w:eastAsia="黑体" w:cs="宋体"/>
          <w:color w:val="000000"/>
          <w:kern w:val="0"/>
          <w:sz w:val="30"/>
          <w:szCs w:val="30"/>
        </w:rPr>
        <w:t xml:space="preserve">条  </w:t>
      </w:r>
      <w:r>
        <w:rPr>
          <w:rFonts w:ascii="仿宋_GB2312" w:hAnsi="仿宋" w:eastAsia="仿宋_GB2312" w:cs="宋体"/>
          <w:color w:val="000000"/>
          <w:kern w:val="0"/>
          <w:sz w:val="30"/>
          <w:szCs w:val="30"/>
        </w:rPr>
        <w:t>生态环境主管部门应当在送达责令改正违法行为决定书之日起三十日内，组织对排污者违法排放污染物行为的改正情况实施复查。</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第十条</w:t>
      </w:r>
      <w:r>
        <w:rPr>
          <w:rFonts w:hint="eastAsia" w:eastAsia="黑体" w:cs="Calibri"/>
          <w:color w:val="000000"/>
          <w:kern w:val="0"/>
          <w:sz w:val="30"/>
          <w:szCs w:val="30"/>
        </w:rPr>
        <w:t xml:space="preserve">  </w:t>
      </w:r>
      <w:r>
        <w:rPr>
          <w:rFonts w:ascii="仿宋_GB2312" w:hAnsi="仿宋" w:eastAsia="仿宋_GB2312" w:cs="宋体"/>
          <w:color w:val="000000"/>
          <w:kern w:val="0"/>
          <w:sz w:val="30"/>
          <w:szCs w:val="30"/>
        </w:rPr>
        <w:t>排污者在</w:t>
      </w:r>
      <w:r>
        <w:rPr>
          <w:rFonts w:hint="eastAsia" w:ascii="仿宋_GB2312" w:hAnsi="仿宋" w:eastAsia="仿宋_GB2312" w:cs="宋体"/>
          <w:color w:val="000000"/>
          <w:kern w:val="0"/>
          <w:sz w:val="30"/>
          <w:szCs w:val="30"/>
        </w:rPr>
        <w:t>生态环境</w:t>
      </w:r>
      <w:r>
        <w:rPr>
          <w:rFonts w:ascii="仿宋_GB2312" w:hAnsi="仿宋" w:eastAsia="仿宋_GB2312" w:cs="宋体"/>
          <w:color w:val="000000"/>
          <w:kern w:val="0"/>
          <w:sz w:val="30"/>
          <w:szCs w:val="30"/>
        </w:rPr>
        <w:t>主管部门实施复查前，可以向作出责令改正违法行为决定书的生态环境主管部门报告改正情况，并附具相关证明材料。</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rPr>
        <w:t>一</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生态环境主管部门复查时发现排污者拒不改正违法排放污染物行为的，可以对其实施按日连续处罚。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生态环境主管部门复查时发现排污者已经改正违法排放污染物行为或者已经停产、停业、关闭的，不启动按日连续处罚。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rPr>
        <w:t>二</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复查时排污者被认定为拒不改正的，生态环境主管部门应当按照本办法第八条的规定再次作出责令改正违法行为决定书并送达排污者，责令立即停止违法排放污染物行为，并应当依照本办法第九条、第十一条的规定对排污者再次进行复查。</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rPr>
        <w:t>三</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生态环境主管部门实施按日连续处罚应当符合法律规定的行政处罚程序。</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rPr>
        <w:t>四</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生态环境主管部门决定实施按日连续处罚的，应当依法作出处罚决定书。</w:t>
      </w:r>
    </w:p>
    <w:p>
      <w:pPr>
        <w:keepNext w:val="0"/>
        <w:keepLines w:val="0"/>
        <w:pageBreakBefore w:val="0"/>
        <w:widowControl/>
        <w:numPr>
          <w:ilvl w:val="0"/>
          <w:numId w:val="0"/>
        </w:numPr>
        <w:suppressAutoHyphens w:val="0"/>
        <w:kinsoku/>
        <w:wordWrap/>
        <w:overflowPunct/>
        <w:topLinePunct w:val="0"/>
        <w:autoSpaceDE/>
        <w:autoSpaceDN/>
        <w:bidi w:val="0"/>
        <w:adjustRightInd/>
        <w:snapToGrid w:val="0"/>
        <w:spacing w:before="313" w:beforeLines="100" w:after="469" w:afterLines="150" w:line="240" w:lineRule="auto"/>
        <w:jc w:val="center"/>
        <w:textAlignment w:val="auto"/>
        <w:rPr>
          <w:rFonts w:hint="eastAsia" w:eastAsia="黑体" w:cs="Calibri"/>
          <w:color w:val="000000"/>
          <w:kern w:val="0"/>
          <w:sz w:val="30"/>
          <w:szCs w:val="30"/>
        </w:rPr>
      </w:pPr>
      <w:r>
        <w:rPr>
          <w:rFonts w:hint="eastAsia" w:eastAsia="黑体" w:cs="Calibri"/>
          <w:color w:val="000000"/>
          <w:kern w:val="0"/>
          <w:sz w:val="30"/>
          <w:szCs w:val="30"/>
        </w:rPr>
        <w:t>第四章  计罚方式</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rPr>
        <w:t>五</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按日连续处罚的计罚日数为责令改正违法行为决定书送达排污者之日的次日起，至生态环境主管部门复查发现违法排放污染物行为之日止。再次复查仍拒不改正的，计罚日数累计执行。</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rPr>
        <w:t>六</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再次复查时违法排放污染物行为已经改正，生态环境主管部门在之后的检查中又发现排污者违法排放污染物的，应当重新作出处罚决定，按日连续处罚的计罚周期重新起算。按日连续处罚次数不受限制。</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rPr>
        <w:t>七</w:t>
      </w:r>
      <w:r>
        <w:rPr>
          <w:rFonts w:ascii="黑体" w:hAnsi="黑体" w:eastAsia="黑体" w:cs="宋体"/>
          <w:color w:val="000000"/>
          <w:kern w:val="0"/>
          <w:sz w:val="30"/>
          <w:szCs w:val="30"/>
        </w:rPr>
        <w:t>条</w:t>
      </w:r>
      <w:r>
        <w:rPr>
          <w:rFonts w:hint="eastAsia" w:eastAsia="黑体" w:cs="Calibri"/>
          <w:color w:val="000000"/>
          <w:kern w:val="0"/>
          <w:sz w:val="30"/>
          <w:szCs w:val="30"/>
        </w:rPr>
        <w:t xml:space="preserve">  </w:t>
      </w:r>
      <w:r>
        <w:rPr>
          <w:rFonts w:ascii="仿宋_GB2312" w:hAnsi="仿宋" w:eastAsia="仿宋_GB2312" w:cs="宋体"/>
          <w:color w:val="000000"/>
          <w:kern w:val="0"/>
          <w:sz w:val="30"/>
          <w:szCs w:val="30"/>
        </w:rPr>
        <w:t>按日连续处罚每日的罚款数额，为原处罚决定书确定的罚款数额。</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按照按日连续处罚规则决定的罚款数额，为原处罚决定书确定的罚款数额乘以计罚日数。</w:t>
      </w:r>
    </w:p>
    <w:p>
      <w:pPr>
        <w:keepNext w:val="0"/>
        <w:keepLines w:val="0"/>
        <w:pageBreakBefore w:val="0"/>
        <w:widowControl/>
        <w:numPr>
          <w:ilvl w:val="0"/>
          <w:numId w:val="0"/>
        </w:numPr>
        <w:suppressAutoHyphens w:val="0"/>
        <w:kinsoku/>
        <w:wordWrap/>
        <w:overflowPunct/>
        <w:topLinePunct w:val="0"/>
        <w:autoSpaceDE/>
        <w:autoSpaceDN/>
        <w:bidi w:val="0"/>
        <w:adjustRightInd/>
        <w:snapToGrid w:val="0"/>
        <w:spacing w:before="313" w:beforeLines="100" w:after="469" w:afterLines="150" w:line="240" w:lineRule="auto"/>
        <w:jc w:val="center"/>
        <w:textAlignment w:val="auto"/>
        <w:rPr>
          <w:rFonts w:hint="eastAsia" w:eastAsia="黑体" w:cs="Calibri"/>
          <w:color w:val="000000"/>
          <w:kern w:val="0"/>
          <w:sz w:val="30"/>
          <w:szCs w:val="30"/>
        </w:rPr>
      </w:pPr>
      <w:r>
        <w:rPr>
          <w:rFonts w:hint="eastAsia" w:eastAsia="黑体" w:cs="Calibri"/>
          <w:color w:val="000000"/>
          <w:kern w:val="0"/>
          <w:sz w:val="30"/>
          <w:szCs w:val="30"/>
          <w:lang w:val="en-US" w:eastAsia="zh-CN"/>
        </w:rPr>
        <w:t xml:space="preserve">第五章 </w:t>
      </w:r>
      <w:r>
        <w:rPr>
          <w:rFonts w:hint="eastAsia" w:eastAsia="黑体" w:cs="Calibri"/>
          <w:color w:val="000000"/>
          <w:kern w:val="0"/>
          <w:sz w:val="30"/>
          <w:szCs w:val="30"/>
        </w:rPr>
        <w:t xml:space="preserve"> 附  则</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w:t>
      </w:r>
      <w:r>
        <w:rPr>
          <w:rFonts w:hint="eastAsia" w:ascii="黑体" w:hAnsi="黑体" w:eastAsia="黑体" w:cs="宋体"/>
          <w:color w:val="000000"/>
          <w:kern w:val="0"/>
          <w:sz w:val="30"/>
          <w:szCs w:val="30"/>
        </w:rPr>
        <w:t>十八</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hint="default" w:ascii="仿宋_GB2312" w:hAnsi="仿宋" w:eastAsia="仿宋_GB2312" w:cs="宋体"/>
          <w:color w:val="000000"/>
          <w:kern w:val="0"/>
          <w:sz w:val="30"/>
          <w:szCs w:val="30"/>
          <w:shd w:val="clear" w:color="auto" w:fill="auto"/>
        </w:rPr>
        <w:t>生态环境主管部门针对违法排放污染物行为实施按日连续处罚的，应当依法及时采取责令排污者限制生产、停产整治或者查封、扣押等措施制止违法行为</w:t>
      </w:r>
      <w:r>
        <w:rPr>
          <w:rFonts w:ascii="仿宋_GB2312" w:hAnsi="仿宋" w:eastAsia="仿宋_GB2312" w:cs="宋体"/>
          <w:color w:val="000000"/>
          <w:kern w:val="0"/>
          <w:sz w:val="30"/>
          <w:szCs w:val="30"/>
          <w:shd w:val="clear" w:color="auto" w:fill="auto"/>
        </w:rPr>
        <w:t>；</w:t>
      </w:r>
      <w:r>
        <w:rPr>
          <w:rFonts w:hint="default" w:ascii="仿宋_GB2312" w:hAnsi="仿宋" w:eastAsia="仿宋_GB2312" w:cs="宋体"/>
          <w:color w:val="000000"/>
          <w:kern w:val="0"/>
          <w:sz w:val="30"/>
          <w:szCs w:val="30"/>
          <w:shd w:val="clear" w:color="auto" w:fill="auto"/>
        </w:rPr>
        <w:t>因采取上述措施使排污者停止违法行为的，不再实施按日连续处罚。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w:t>
      </w:r>
      <w:r>
        <w:rPr>
          <w:rFonts w:hint="eastAsia" w:ascii="黑体" w:hAnsi="黑体" w:eastAsia="黑体" w:cs="宋体"/>
          <w:color w:val="000000"/>
          <w:kern w:val="0"/>
          <w:sz w:val="30"/>
          <w:szCs w:val="30"/>
        </w:rPr>
        <w:t>十九</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本办法由国务院生态环境主管部门负责解释。</w:t>
      </w:r>
    </w:p>
    <w:p>
      <w:pPr>
        <w:keepNext w:val="0"/>
        <w:keepLines w:val="0"/>
        <w:pageBreakBefore w:val="0"/>
        <w:kinsoku/>
        <w:wordWrap/>
        <w:overflowPunct/>
        <w:topLinePunct w:val="0"/>
        <w:autoSpaceDE/>
        <w:autoSpaceDN/>
        <w:bidi w:val="0"/>
        <w:adjustRightInd/>
        <w:snapToGrid w:val="0"/>
        <w:spacing w:line="360" w:lineRule="auto"/>
        <w:ind w:firstLine="600" w:firstLineChars="200"/>
        <w:textAlignment w:val="auto"/>
        <w:rPr>
          <w:rFonts w:hint="eastAsia"/>
          <w:sz w:val="30"/>
          <w:szCs w:val="30"/>
          <w:lang w:val="en-US" w:eastAsia="zh-CN"/>
        </w:rPr>
      </w:pPr>
      <w:r>
        <w:rPr>
          <w:rFonts w:ascii="黑体" w:hAnsi="黑体" w:eastAsia="黑体" w:cs="宋体"/>
          <w:color w:val="000000"/>
          <w:kern w:val="0"/>
          <w:sz w:val="30"/>
          <w:szCs w:val="30"/>
        </w:rPr>
        <w:t>第二</w:t>
      </w:r>
      <w:r>
        <w:rPr>
          <w:rFonts w:hint="eastAsia" w:ascii="黑体" w:hAnsi="黑体" w:eastAsia="黑体" w:cs="宋体"/>
          <w:color w:val="000000"/>
          <w:kern w:val="0"/>
          <w:sz w:val="30"/>
          <w:szCs w:val="30"/>
        </w:rPr>
        <w:t>十</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本办法自2015年1月1日起施行。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生态环境部发布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生态环境部</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9088DC"/>
    <w:multiLevelType w:val="singleLevel"/>
    <w:tmpl w:val="649088DC"/>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EF4A15"/>
    <w:rsid w:val="1DEC284C"/>
    <w:rsid w:val="1E6523AC"/>
    <w:rsid w:val="1EEC0BCC"/>
    <w:rsid w:val="22440422"/>
    <w:rsid w:val="31A15F24"/>
    <w:rsid w:val="38BE75CE"/>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0EF734D"/>
    <w:rsid w:val="634827C0"/>
    <w:rsid w:val="665233C1"/>
    <w:rsid w:val="6AD9688B"/>
    <w:rsid w:val="6D0E3F22"/>
    <w:rsid w:val="76BC1E06"/>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10"/>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page number"/>
    <w:basedOn w:val="8"/>
    <w:qFormat/>
    <w:uiPriority w:val="0"/>
  </w:style>
  <w:style w:type="character" w:customStyle="1" w:styleId="10">
    <w:name w:val="标题 1 Char"/>
    <w:link w:val="3"/>
    <w:uiPriority w:val="0"/>
    <w:rPr>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2122</Words>
  <Characters>2134</Characters>
  <Lines>1</Lines>
  <Paragraphs>1</Paragraphs>
  <TotalTime>3</TotalTime>
  <ScaleCrop>false</ScaleCrop>
  <LinksUpToDate>false</LinksUpToDate>
  <CharactersWithSpaces>2199</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hanjiqi</cp:lastModifiedBy>
  <cp:lastPrinted>2021-10-26T03:30:00Z</cp:lastPrinted>
  <dcterms:modified xsi:type="dcterms:W3CDTF">2026-10-10T08:51:00Z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94CE7BC400804437AF42D9F6398068C3_13</vt:lpwstr>
  </property>
  <property fmtid="{D5CDD505-2E9C-101B-9397-08002B2CF9AE}" pid="4" name="KSOTemplateDocerSaveRecord">
    <vt:lpwstr>eyJoZGlkIjoiN2JhNzdkYzM4YzBkODRmZTJiYzRmOTU1M2ZmYmQxMzciLCJ1c2VySWQiOiIxMTQ4MDA1ODc1In0=</vt:lpwstr>
  </property>
</Properties>
</file>