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36" w:lineRule="auto"/>
        <w:jc w:val="center"/>
        <w:rPr>
          <w:rFonts w:asciiTheme="minorEastAsia" w:hAnsiTheme="minorEastAsia" w:cstheme="minorEastAsia"/>
          <w:sz w:val="44"/>
          <w:szCs w:val="44"/>
        </w:rPr>
      </w:pPr>
    </w:p>
    <w:p>
      <w:pPr>
        <w:snapToGrid w:val="0"/>
        <w:spacing w:line="336" w:lineRule="auto"/>
        <w:rPr>
          <w:rFonts w:asciiTheme="minorEastAsia" w:hAnsiTheme="minorEastAsia" w:cstheme="minorEastAsia"/>
          <w:sz w:val="44"/>
          <w:szCs w:val="44"/>
        </w:rPr>
      </w:pPr>
    </w:p>
    <w:p>
      <w:pPr>
        <w:pStyle w:val="10"/>
        <w:widowControl w:val="0"/>
        <w:topLinePunct/>
        <w:adjustRightInd w:val="0"/>
        <w:snapToGrid/>
        <w:spacing w:line="336" w:lineRule="auto"/>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生活垃圾焚烧发电厂自动监测数据</w:t>
      </w:r>
    </w:p>
    <w:p>
      <w:pPr>
        <w:pStyle w:val="10"/>
        <w:widowControl w:val="0"/>
        <w:topLinePunct/>
        <w:adjustRightInd w:val="0"/>
        <w:snapToGrid/>
        <w:spacing w:line="336" w:lineRule="auto"/>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应用管理规定</w:t>
      </w:r>
    </w:p>
    <w:p>
      <w:pPr>
        <w:widowControl/>
        <w:shd w:val="clear" w:color="auto" w:fill="FFFFFF"/>
        <w:suppressAutoHyphens w:val="0"/>
        <w:bidi w:val="0"/>
        <w:snapToGrid w:val="0"/>
        <w:spacing w:line="560" w:lineRule="exact"/>
        <w:jc w:val="center"/>
        <w:outlineLvl w:val="2"/>
        <w:rPr>
          <w:rFonts w:ascii="楷体_GB2312" w:hAnsi="仿宋" w:eastAsia="楷体_GB2312" w:cs="宋体"/>
          <w:color w:val="000000"/>
          <w:kern w:val="0"/>
          <w:sz w:val="30"/>
          <w:szCs w:val="30"/>
        </w:rPr>
      </w:pPr>
      <w:r>
        <w:rPr>
          <w:rFonts w:ascii="楷体_GB2312" w:hAnsi="仿宋" w:eastAsia="楷体_GB2312" w:cs="宋体"/>
          <w:color w:val="000000"/>
          <w:kern w:val="0"/>
          <w:sz w:val="30"/>
          <w:szCs w:val="30"/>
        </w:rPr>
        <w:t>（生态环境部令第10号公布</w:t>
      </w:r>
      <w:r>
        <w:rPr>
          <w:rFonts w:hint="eastAsia" w:ascii="楷体_GB2312" w:hAnsi="仿宋" w:eastAsia="楷体_GB2312" w:cs="宋体"/>
          <w:color w:val="000000"/>
          <w:kern w:val="0"/>
          <w:sz w:val="30"/>
          <w:szCs w:val="30"/>
          <w:lang w:val="en-US" w:eastAsia="zh-CN"/>
        </w:rPr>
        <w:t xml:space="preserve"> </w:t>
      </w:r>
      <w:r>
        <w:rPr>
          <w:rFonts w:hint="eastAsia" w:ascii="楷体_GB2312" w:hAnsi="仿宋" w:eastAsia="楷体_GB2312" w:cs="宋体"/>
          <w:color w:val="000000"/>
          <w:kern w:val="0"/>
          <w:sz w:val="30"/>
          <w:szCs w:val="30"/>
        </w:rPr>
        <w:t>根据2026年</w:t>
      </w:r>
      <w:r>
        <w:rPr>
          <w:rFonts w:hint="eastAsia" w:ascii="楷体_GB2312" w:hAnsi="仿宋" w:eastAsia="楷体_GB2312" w:cs="宋体"/>
          <w:color w:val="000000"/>
          <w:kern w:val="0"/>
          <w:sz w:val="30"/>
          <w:szCs w:val="30"/>
          <w:lang w:eastAsia="zh-CN"/>
        </w:rPr>
        <w:t>9月20日</w:t>
      </w:r>
      <w:r>
        <w:rPr>
          <w:rFonts w:hint="eastAsia" w:ascii="楷体_GB2312" w:hAnsi="仿宋" w:eastAsia="楷体_GB2312" w:cs="宋体"/>
          <w:color w:val="000000"/>
          <w:kern w:val="0"/>
          <w:sz w:val="30"/>
          <w:szCs w:val="30"/>
        </w:rPr>
        <w:t>《关于修改和废止部分规章的决定》修正</w:t>
      </w:r>
      <w:r>
        <w:rPr>
          <w:rFonts w:ascii="楷体_GB2312" w:hAnsi="仿宋" w:eastAsia="楷体_GB2312" w:cs="宋体"/>
          <w:color w:val="000000"/>
          <w:kern w:val="0"/>
          <w:sz w:val="30"/>
          <w:szCs w:val="30"/>
        </w:rPr>
        <w:t>）</w:t>
      </w:r>
    </w:p>
    <w:p>
      <w:pPr>
        <w:pStyle w:val="11"/>
        <w:widowControl w:val="0"/>
        <w:topLinePunct/>
        <w:adjustRightInd w:val="0"/>
        <w:snapToGrid w:val="0"/>
        <w:spacing w:line="336" w:lineRule="auto"/>
        <w:jc w:val="left"/>
        <w:rPr>
          <w:rFonts w:ascii="黑体" w:hAnsi="黑体" w:eastAsia="黑体"/>
          <w:sz w:val="32"/>
          <w:szCs w:val="32"/>
        </w:rPr>
      </w:pP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为规范生活垃圾焚烧发电厂自动监测数据使用，</w:t>
      </w:r>
      <w:r>
        <w:rPr>
          <w:rFonts w:hint="eastAsia" w:ascii="仿宋_GB2312" w:hAnsi="仿宋" w:eastAsia="仿宋_GB2312" w:cs="宋体"/>
          <w:color w:val="000000"/>
          <w:kern w:val="0"/>
          <w:sz w:val="30"/>
          <w:szCs w:val="30"/>
        </w:rPr>
        <w:t>推动生活垃圾焚烧发电厂达标排放，</w:t>
      </w:r>
      <w:r>
        <w:rPr>
          <w:rFonts w:ascii="仿宋_GB2312" w:hAnsi="仿宋" w:eastAsia="仿宋_GB2312" w:cs="宋体"/>
          <w:color w:val="000000"/>
          <w:kern w:val="0"/>
          <w:sz w:val="30"/>
          <w:szCs w:val="30"/>
        </w:rPr>
        <w:t>依法查处生态环境违法行为，根据《中华人民共和国生态环境法典》等法律法规，制定本规定。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本规定适用于投入运行的生活垃圾焚烧发电厂（以下简称垃圾焚烧厂）。</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垃圾焚烧厂应当按照有关法律法规和标准规范安装使用自动监测设备，与生态环境主管部门的监控设备联网。</w:t>
      </w:r>
    </w:p>
    <w:p>
      <w:pPr>
        <w:keepNext w:val="0"/>
        <w:keepLines w:val="0"/>
        <w:pageBreakBefore w:val="0"/>
        <w:widowControl/>
        <w:suppressAutoHyphens/>
        <w:kinsoku/>
        <w:wordWrap/>
        <w:overflowPunct/>
        <w:topLinePunct w:val="0"/>
        <w:autoSpaceDE/>
        <w:autoSpaceDN/>
        <w:bidi w:val="0"/>
        <w:adjustRightInd/>
        <w:snapToGrid w:val="0"/>
        <w:spacing w:line="360" w:lineRule="auto"/>
        <w:ind w:firstLine="600" w:firstLineChars="200"/>
        <w:jc w:val="left"/>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垃圾焚烧厂应当按照《固定污染源烟气（</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SO</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2</w:t>
      </w: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、NO</w:t>
      </w:r>
      <w:r>
        <w:rPr>
          <w:rFonts w:hint="eastAsia" w:ascii="仿宋_GB2312" w:hAnsi="仿宋_GB2312" w:eastAsia="仿宋_GB2312" w:cs="仿宋_GB2312"/>
          <w:i w:val="0"/>
          <w:caps w:val="0"/>
          <w:color w:val="000000"/>
          <w:spacing w:val="0"/>
          <w:kern w:val="0"/>
          <w:sz w:val="30"/>
          <w:szCs w:val="30"/>
          <w:shd w:val="clear" w:color="auto" w:fill="FFFFFF"/>
          <w:vertAlign w:val="subscript"/>
          <w:lang w:val="en-US" w:eastAsia="zh-CN" w:bidi="ar"/>
        </w:rPr>
        <w:t>X</w:t>
      </w:r>
      <w:r>
        <w:rPr>
          <w:rFonts w:ascii="仿宋_GB2312" w:hAnsi="仿宋" w:eastAsia="仿宋_GB2312" w:cs="宋体"/>
          <w:color w:val="000000"/>
          <w:kern w:val="0"/>
          <w:sz w:val="30"/>
          <w:szCs w:val="30"/>
        </w:rPr>
        <w:t>、颗粒物）排放连续监测技术规范》（HJ 75）等标准规范要求，对自动监测设备开展质量控制和质量保证工作，保证自动监测设备正常运行，保存原始监测记录，并确保自动监测数据的真实、准确、完整、有效。</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垃圾焚烧厂应当按照生活垃圾焚烧发电厂自动监测数据标记规则（以下简称标记规则），及时在自动监控系统企业端，如实标记每台焚烧炉工况和自动监测异常情况。</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自动监测设备发生故障，或者进行检修、校准的，垃圾焚烧厂应当按照标记规则及时标记；未标记的，视为数据有效。</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生态环境主管部门可以利用自动监控系统收集</w:t>
      </w:r>
      <w:r>
        <w:rPr>
          <w:rFonts w:hint="eastAsia" w:ascii="仿宋_GB2312" w:hAnsi="仿宋" w:eastAsia="仿宋_GB2312" w:cs="宋体"/>
          <w:color w:val="000000"/>
          <w:kern w:val="0"/>
          <w:sz w:val="30"/>
          <w:szCs w:val="30"/>
        </w:rPr>
        <w:t>生态</w:t>
      </w:r>
      <w:r>
        <w:rPr>
          <w:rFonts w:ascii="仿宋_GB2312" w:hAnsi="仿宋" w:eastAsia="仿宋_GB2312" w:cs="宋体"/>
          <w:color w:val="000000"/>
          <w:kern w:val="0"/>
          <w:sz w:val="30"/>
          <w:szCs w:val="30"/>
        </w:rPr>
        <w:t>环境违法行为证据。自动监测数据可以作为判定垃圾焚烧厂是否存在生态环境违法行为的证据。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一个自然日内，垃圾焚烧厂任一焚烧炉排放烟气中颗粒物、氮氧化物、二氧化硫、氯化氢、一氧化碳等污染物的自动监测日均值数据，有一项或者一项以上超过《生活垃圾焚烧污染控制标准》（GB 18485）或者地方污染物排放标准规定的相应污染物24小时均值限值或者日均值限值，可以认定其污染物排放超标。</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自动监测日均值数据的计算，按照《污染物在线监控（监测）系统数据传输标准》（HJ 212）执行。</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对二</w:t>
      </w:r>
      <w:r>
        <w:rPr>
          <w:rFonts w:hint="eastAsia" w:ascii="仿宋_GB2312" w:hAnsi="仿宋_GB2312" w:eastAsia="仿宋_GB2312" w:cs="仿宋_GB2312"/>
          <w:color w:val="000000"/>
          <w:kern w:val="0"/>
          <w:sz w:val="30"/>
          <w:szCs w:val="30"/>
        </w:rPr>
        <w:t>噁英类等暂不具备自动监测条件的污染物，以生态环境主管部门执法监测获取的监测数据作为超标判定依据。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第七条</w:t>
      </w:r>
      <w:r>
        <w:rPr>
          <w:rFonts w:hint="eastAsia" w:eastAsia="仿宋" w:cs="Calibri"/>
          <w:color w:val="000000"/>
          <w:kern w:val="0"/>
          <w:sz w:val="30"/>
          <w:szCs w:val="30"/>
        </w:rPr>
        <w:t xml:space="preserve">  </w:t>
      </w:r>
      <w:r>
        <w:rPr>
          <w:rFonts w:hint="eastAsia" w:ascii="仿宋_GB2312" w:hAnsi="仿宋_GB2312" w:eastAsia="仿宋_GB2312" w:cs="仿宋_GB2312"/>
          <w:color w:val="000000"/>
          <w:kern w:val="0"/>
          <w:sz w:val="30"/>
          <w:szCs w:val="30"/>
        </w:rPr>
        <w:t>垃</w:t>
      </w:r>
      <w:r>
        <w:rPr>
          <w:rFonts w:ascii="仿宋_GB2312" w:hAnsi="仿宋" w:eastAsia="仿宋_GB2312" w:cs="宋体"/>
          <w:color w:val="000000"/>
          <w:kern w:val="0"/>
          <w:sz w:val="30"/>
          <w:szCs w:val="30"/>
        </w:rPr>
        <w:t>圾焚烧厂应当按照国家有关规定，确保正常工况下焚烧炉炉膛内热电偶测量温度的5分钟均值不低于850℃。</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第八条</w:t>
      </w:r>
      <w:r>
        <w:rPr>
          <w:rFonts w:hint="eastAsia" w:eastAsia="仿宋" w:cs="Calibri"/>
          <w:color w:val="000000"/>
          <w:kern w:val="0"/>
          <w:sz w:val="30"/>
          <w:szCs w:val="30"/>
        </w:rPr>
        <w:t xml:space="preserve">  </w:t>
      </w:r>
      <w:r>
        <w:rPr>
          <w:rFonts w:ascii="仿宋_GB2312" w:hAnsi="仿宋" w:eastAsia="仿宋_GB2312" w:cs="宋体"/>
          <w:i w:val="0"/>
          <w:iCs w:val="0"/>
          <w:caps w:val="0"/>
          <w:color w:val="000000"/>
          <w:spacing w:val="0"/>
          <w:kern w:val="0"/>
          <w:sz w:val="30"/>
          <w:szCs w:val="30"/>
          <w:shd w:val="clear" w:color="auto" w:fill="auto"/>
        </w:rPr>
        <w:t>生态环境主管部门开展行政执法时，可以按照监测技术规范要求采集一个样品进行执法监测，获取的监测数据可以作为行政执法的证据。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生态环境主管部门执法监测获取的监测数据与自动监测数据不一致的，以生态环境主管部门执法监测获取的监测数据作为行政执法的证据。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生态环境主管部门执法人员现场调查取证时，应当提取自动监测数据，制作调查询问笔录或者现场检查（勘察）笔录，并对提取过程进行拍照或者摄像，或者采取其他方式记录执法过程。</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经现场调查核实垃圾焚烧厂污染物超标排放行为属实的，生态环境主管部门应当当场责令垃圾焚烧厂改正违法行为，并依法下达责令改正违法行为决定书。</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生态环境主管部门执法人员现场调查时，可以根据垃圾焚烧厂的违法情形，收集下列证据：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（一）当事人的身份证明；</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（二）调查询问笔录或者现场检查（勘察）笔录；</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（三）提取的热电偶测量温度的五分钟均值数据、自动监测日均值数据或者数据缺失情况；</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（四）自动监测设备运行参数记录、运行维护记录；</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（五）相关生产记录、污染防治设施运行管理台账等；</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（六）自动监控系统企业端焚烧炉工况、自动监测异常情况数据及标记记录；</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（七）其他需要的证据。</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生态环境主管部门执法人员现场从自动监测设备提取的数据，应当由垃圾焚烧厂直接负责的主管人员或者其他责任人员签字确认。</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根据本规定第六条认定为污染物排放超标的，依照《中华人民共和国生态环境法典》有关规定处罚。对一个自然月内累计超标5天以上的，应当依法责令限制生产或者停产整治。</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垃圾焚烧厂存在下列情形之一，按照标记规则及时在自动监控系统企业端如实标记的，不认定为污染物排放超标：</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（一）一个自然年内，每台焚烧炉标记为“启炉”“停炉”“故障”“事故”，且颗粒物浓度的小时均值不大于150毫克/立方米的时段，累计不超过60小时的；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（二）一个自然年内，每台焚烧炉标记为“烘炉”“停炉降温”的时段，累计不超过700小时的；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（三）标记为“停运”的。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正常工况下焚烧炉炉膛内热电偶测量温度的五分钟均值低于850℃，一个自然日内累计超过5次的，认定为未采取有利于减少持久性有机污染物排放的技术方法和工艺，依照《中华人民共和国生态环境法典》有关规定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下列情形不认定为“未采取有利于减少持久性有机污染物排放的技术方法和工艺”：</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（一）因不可抗力导致焚烧炉炉膛内热电偶测量温度的五分钟均值低于850℃，提前采取了有效措施控制烟气中二</w:t>
      </w:r>
      <w:r>
        <w:rPr>
          <w:rFonts w:hint="eastAsia" w:ascii="仿宋_GB2312" w:hAnsi="仿宋_GB2312" w:eastAsia="仿宋_GB2312" w:cs="仿宋_GB2312"/>
          <w:color w:val="000000"/>
          <w:kern w:val="0"/>
          <w:sz w:val="30"/>
          <w:szCs w:val="30"/>
        </w:rPr>
        <w:t>噁英类污染物排放，按照标记规则标记为</w:t>
      </w:r>
      <w:r>
        <w:rPr>
          <w:rFonts w:ascii="仿宋_GB2312" w:hAnsi="仿宋" w:eastAsia="仿宋_GB2312" w:cs="宋体"/>
          <w:color w:val="000000"/>
          <w:kern w:val="0"/>
          <w:sz w:val="30"/>
          <w:szCs w:val="30"/>
        </w:rPr>
        <w:t>“炉温异常”的；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（二）标记为“停运”的。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垃圾焚烧厂违反本规定第三条第三款，导致自动监测数据缺失或者无效的，认定为未正常运行污染物排放自动监测设备，依照《中华人民共和国生态环境法典》有关规定处罚。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下列情形不认定为未正常运行污染物排放自动监测设备：</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（一）在一个季度内，每台焚烧炉标记为“烟气排放连续监测系统（CEMS）维护”的时段，累计不超过30小时的；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（二）标记为“停运”的。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垃圾焚烧厂通过下列行为排放污染物的，认定为通过逃避监管的方式排放污染物，依照《中华人民共和国生态环境法典》有关规定处罚：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（一）未按照标记规则虚假标记的；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（二）篡改、伪造自动监测数据的。</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篡改、伪造自动监测数据或者干扰自动监测设备排放污染物，涉嫌构成犯罪的，生态环境主管部门应当依法移送司法机关，追究刑事责任。</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lang w:eastAsia="zh-CN"/>
        </w:rPr>
        <w:t>五</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垃圾焚烧厂因污染物排放超标等生态环境违法行为被依法处罚的，应当依照国家有关规定，核减或者暂停拨付其国家可再生能源电价附加补贴资金。</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lang w:eastAsia="zh-CN"/>
        </w:rPr>
        <w:t>六</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生活垃圾焚烧发电厂自动监测数据标记规则由生态环境部另行制定。</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第十</w:t>
      </w:r>
      <w:r>
        <w:rPr>
          <w:rFonts w:hint="eastAsia" w:ascii="黑体" w:hAnsi="黑体" w:eastAsia="黑体" w:cs="宋体"/>
          <w:color w:val="000000"/>
          <w:kern w:val="0"/>
          <w:sz w:val="30"/>
          <w:szCs w:val="30"/>
          <w:lang w:eastAsia="zh-CN"/>
        </w:rPr>
        <w:t>七</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本规定由生态环境部负责解释。</w:t>
      </w:r>
    </w:p>
    <w:p>
      <w:pPr>
        <w:keepNext w:val="0"/>
        <w:keepLines w:val="0"/>
        <w:pageBreakBefore w:val="0"/>
        <w:widowControl/>
        <w:suppressAutoHyphens w:val="0"/>
        <w:kinsoku/>
        <w:wordWrap/>
        <w:overflowPunct/>
        <w:topLinePunct w:val="0"/>
        <w:autoSpaceDE/>
        <w:autoSpaceDN/>
        <w:bidi w:val="0"/>
        <w:adjustRightInd/>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w:t>
      </w:r>
      <w:r>
        <w:rPr>
          <w:rFonts w:hint="eastAsia" w:ascii="黑体" w:hAnsi="黑体" w:eastAsia="黑体" w:cs="宋体"/>
          <w:color w:val="000000"/>
          <w:kern w:val="0"/>
          <w:sz w:val="30"/>
          <w:szCs w:val="30"/>
          <w:lang w:eastAsia="zh-CN"/>
        </w:rPr>
        <w:t>十八</w:t>
      </w:r>
      <w:r>
        <w:rPr>
          <w:rFonts w:ascii="黑体" w:hAnsi="黑体" w:eastAsia="黑体" w:cs="宋体"/>
          <w:color w:val="000000"/>
          <w:kern w:val="0"/>
          <w:sz w:val="30"/>
          <w:szCs w:val="30"/>
        </w:rPr>
        <w:t>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本规定自2020年1月1日起施行。</w:t>
      </w:r>
    </w:p>
    <w:p>
      <w:pPr>
        <w:snapToGrid w:val="0"/>
        <w:spacing w:line="336" w:lineRule="auto"/>
        <w:ind w:firstLine="640" w:firstLineChars="200"/>
        <w:rPr>
          <w:rFonts w:ascii="仿宋_GB2312" w:hAnsi="仿宋_GB2312" w:eastAsia="仿宋_GB2312" w:cs="仿宋_GB2312"/>
          <w:color w:val="333333"/>
          <w:sz w:val="32"/>
          <w:szCs w:val="32"/>
          <w:shd w:val="clear" w:color="auto" w:fill="FFFFFF"/>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6"/>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F70F6"/>
    <w:rsid w:val="003643E6"/>
    <w:rsid w:val="00852706"/>
    <w:rsid w:val="019E71BD"/>
    <w:rsid w:val="04B679C3"/>
    <w:rsid w:val="080F63D8"/>
    <w:rsid w:val="09341458"/>
    <w:rsid w:val="0B0912D7"/>
    <w:rsid w:val="0CB44BBF"/>
    <w:rsid w:val="152D2DCA"/>
    <w:rsid w:val="19EF4A15"/>
    <w:rsid w:val="1B1814EA"/>
    <w:rsid w:val="1C135A1C"/>
    <w:rsid w:val="1DEC284C"/>
    <w:rsid w:val="1E6523AC"/>
    <w:rsid w:val="22440422"/>
    <w:rsid w:val="2638461D"/>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7773D57"/>
    <w:rsid w:val="5DC34279"/>
    <w:rsid w:val="5E5C032E"/>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annotation text"/>
    <w:basedOn w:val="1"/>
    <w:qFormat/>
    <w:uiPriority w:val="0"/>
    <w:pPr>
      <w:jc w:val="left"/>
    </w:pPr>
  </w:style>
  <w:style w:type="paragraph" w:styleId="4">
    <w:name w:val="Balloon Text"/>
    <w:basedOn w:val="1"/>
    <w:link w:val="12"/>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page number"/>
    <w:basedOn w:val="8"/>
    <w:qFormat/>
    <w:uiPriority w:val="0"/>
  </w:style>
  <w:style w:type="paragraph" w:customStyle="1" w:styleId="10">
    <w:name w:val="p16"/>
    <w:basedOn w:val="1"/>
    <w:qFormat/>
    <w:uiPriority w:val="0"/>
    <w:pPr>
      <w:widowControl/>
      <w:snapToGrid w:val="0"/>
      <w:jc w:val="center"/>
    </w:pPr>
    <w:rPr>
      <w:rFonts w:ascii="方正小标宋_GBK" w:hAnsi="方正小标宋_GBK" w:cs="宋体"/>
      <w:color w:val="000000"/>
      <w:kern w:val="0"/>
      <w:sz w:val="38"/>
      <w:szCs w:val="38"/>
    </w:rPr>
  </w:style>
  <w:style w:type="paragraph" w:customStyle="1" w:styleId="11">
    <w:name w:val="p0"/>
    <w:basedOn w:val="1"/>
    <w:qFormat/>
    <w:uiPriority w:val="0"/>
    <w:pPr>
      <w:widowControl/>
    </w:pPr>
    <w:rPr>
      <w:rFonts w:ascii="Calibri" w:hAnsi="Calibri" w:cs="宋体"/>
      <w:kern w:val="0"/>
      <w:szCs w:val="21"/>
    </w:rPr>
  </w:style>
  <w:style w:type="character" w:customStyle="1" w:styleId="12">
    <w:name w:val="批注框文本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409</Words>
  <Characters>2336</Characters>
  <Lines>19</Lines>
  <Paragraphs>5</Paragraphs>
  <TotalTime>3</TotalTime>
  <ScaleCrop>false</ScaleCrop>
  <LinksUpToDate>false</LinksUpToDate>
  <CharactersWithSpaces>2740</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2026-10-10T02:19:04Z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48C61CB29D3F4D9384F5922CF0F7FFB4</vt:lpwstr>
  </property>
</Properties>
</file>